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0823A" w14:textId="0D544D1B"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6C364B">
        <w:t>53485</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334EDEED" w14:textId="77777777" w:rsidTr="00E710D3">
        <w:trPr>
          <w:trHeight w:val="576"/>
        </w:trPr>
        <w:tc>
          <w:tcPr>
            <w:tcW w:w="4826" w:type="dxa"/>
          </w:tcPr>
          <w:bookmarkStart w:id="2" w:name="DocumentStyle"/>
          <w:p w14:paraId="7940E460" w14:textId="6887ECA8" w:rsidR="00E710D3" w:rsidRPr="00E710D3" w:rsidRDefault="006201D7" w:rsidP="00912358">
            <w:pPr>
              <w:spacing w:after="0" w:line="240" w:lineRule="auto"/>
              <w:ind w:firstLine="0"/>
              <w:jc w:val="left"/>
              <w:rPr>
                <w:b/>
                <w:szCs w:val="20"/>
              </w:rPr>
            </w:pPr>
            <w:sdt>
              <w:sdtPr>
                <w:rPr>
                  <w:b/>
                  <w:caps/>
                  <w:szCs w:val="20"/>
                </w:rPr>
                <w:alias w:val="Case Style"/>
                <w:tag w:val="CS"/>
                <w:id w:val="-920102863"/>
                <w:placeholder>
                  <w:docPart w:val="E053FEC0D1C34B40838726410B2F530F"/>
                </w:placeholder>
                <w15:appearance w15:val="hidden"/>
              </w:sdtPr>
              <w:sdtEndPr/>
              <w:sdtContent>
                <w:r w:rsidR="006C364B">
                  <w:rPr>
                    <w:b/>
                    <w:caps/>
                    <w:szCs w:val="20"/>
                  </w:rPr>
                  <w:t>APPLICATION OF GIDEON WATER LLC FOR A CERTIFICATE OF CONVENIENCE AND NECESSITY IN MONTGOMERY COUNTY</w:t>
                </w:r>
              </w:sdtContent>
            </w:sdt>
            <w:bookmarkEnd w:id="2"/>
            <w:r w:rsidR="00912358">
              <w:rPr>
                <w:b/>
                <w:caps/>
                <w:szCs w:val="20"/>
              </w:rPr>
              <w:t xml:space="preserve"> </w:t>
            </w:r>
          </w:p>
        </w:tc>
        <w:tc>
          <w:tcPr>
            <w:tcW w:w="336" w:type="dxa"/>
            <w:noWrap/>
          </w:tcPr>
          <w:p w14:paraId="2938D630" w14:textId="77777777" w:rsidR="006C364B" w:rsidRDefault="006C364B" w:rsidP="008647EB">
            <w:pPr>
              <w:spacing w:after="0" w:line="240" w:lineRule="auto"/>
              <w:ind w:firstLine="0"/>
              <w:rPr>
                <w:b/>
                <w:szCs w:val="20"/>
              </w:rPr>
            </w:pPr>
            <w:r>
              <w:rPr>
                <w:b/>
                <w:szCs w:val="20"/>
              </w:rPr>
              <w:t>§</w:t>
            </w:r>
          </w:p>
          <w:p w14:paraId="649D48A2" w14:textId="77777777" w:rsidR="006C364B" w:rsidRDefault="006C364B" w:rsidP="008647EB">
            <w:pPr>
              <w:spacing w:after="0" w:line="240" w:lineRule="auto"/>
              <w:ind w:firstLine="0"/>
              <w:rPr>
                <w:b/>
                <w:szCs w:val="20"/>
              </w:rPr>
            </w:pPr>
            <w:r>
              <w:rPr>
                <w:b/>
                <w:szCs w:val="20"/>
              </w:rPr>
              <w:t>§</w:t>
            </w:r>
          </w:p>
          <w:p w14:paraId="51FAC999" w14:textId="77777777" w:rsidR="006C364B" w:rsidRDefault="006C364B" w:rsidP="008647EB">
            <w:pPr>
              <w:spacing w:after="0" w:line="240" w:lineRule="auto"/>
              <w:ind w:firstLine="0"/>
              <w:rPr>
                <w:b/>
                <w:szCs w:val="20"/>
              </w:rPr>
            </w:pPr>
            <w:r>
              <w:rPr>
                <w:b/>
                <w:szCs w:val="20"/>
              </w:rPr>
              <w:t>§</w:t>
            </w:r>
          </w:p>
          <w:p w14:paraId="6F8B710D" w14:textId="1D14DBEF" w:rsidR="00DA790F" w:rsidRPr="008647EB" w:rsidRDefault="006C364B" w:rsidP="008647EB">
            <w:pPr>
              <w:spacing w:after="0" w:line="240" w:lineRule="auto"/>
              <w:ind w:firstLine="0"/>
              <w:rPr>
                <w:b/>
                <w:szCs w:val="20"/>
              </w:rPr>
            </w:pPr>
            <w:r>
              <w:rPr>
                <w:b/>
                <w:szCs w:val="20"/>
              </w:rPr>
              <w:t>§</w:t>
            </w:r>
          </w:p>
        </w:tc>
        <w:tc>
          <w:tcPr>
            <w:tcW w:w="4198" w:type="dxa"/>
          </w:tcPr>
          <w:p w14:paraId="537CFAA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7CA9C1E5"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780627C"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73CB068E" w14:textId="77777777" w:rsidR="00DA790F" w:rsidRPr="008647EB" w:rsidRDefault="00DA790F" w:rsidP="008647EB">
      <w:pPr>
        <w:spacing w:after="0" w:line="240" w:lineRule="auto"/>
        <w:ind w:firstLine="0"/>
        <w:jc w:val="center"/>
        <w:rPr>
          <w:b/>
          <w:caps/>
        </w:rPr>
      </w:pPr>
    </w:p>
    <w:p w14:paraId="4EC77B55" w14:textId="1A78FA53" w:rsidR="007C1C19" w:rsidRPr="008647EB" w:rsidRDefault="006C364B" w:rsidP="007C1C19">
      <w:pPr>
        <w:spacing w:after="0" w:line="240" w:lineRule="auto"/>
        <w:ind w:firstLine="0"/>
        <w:jc w:val="center"/>
        <w:rPr>
          <w:b/>
          <w:caps/>
        </w:rPr>
      </w:pPr>
      <w:r>
        <w:rPr>
          <w:b/>
          <w:caps/>
        </w:rPr>
        <w:t xml:space="preserve">JOINT </w:t>
      </w:r>
      <w:r w:rsidR="003F71F5">
        <w:rPr>
          <w:b/>
          <w:caps/>
        </w:rPr>
        <w:t xml:space="preserve">APpeal </w:t>
      </w:r>
      <w:r w:rsidR="00106C86">
        <w:rPr>
          <w:b/>
          <w:caps/>
        </w:rPr>
        <w:t>OF ORDER NO. 2</w:t>
      </w:r>
      <w:r w:rsidR="003F71F5">
        <w:rPr>
          <w:b/>
          <w:caps/>
        </w:rPr>
        <w:t>1</w:t>
      </w:r>
    </w:p>
    <w:p w14:paraId="55D34E8F" w14:textId="77777777" w:rsidR="007C1C19" w:rsidRPr="008647EB" w:rsidRDefault="007C1C19" w:rsidP="007C1C19">
      <w:pPr>
        <w:pStyle w:val="CaseCaption"/>
        <w:spacing w:after="0"/>
        <w:contextualSpacing w:val="0"/>
      </w:pPr>
    </w:p>
    <w:p w14:paraId="3ABF46BD" w14:textId="38DB9A56" w:rsidR="009129C2" w:rsidRDefault="009129C2" w:rsidP="009129C2">
      <w:pPr>
        <w:pStyle w:val="Heading1"/>
        <w:tabs>
          <w:tab w:val="clear" w:pos="1440"/>
        </w:tabs>
        <w:spacing w:before="0" w:after="0" w:line="360" w:lineRule="auto"/>
        <w:ind w:left="0" w:right="0"/>
      </w:pPr>
      <w:r>
        <w:t>INTRODUCTION</w:t>
      </w:r>
    </w:p>
    <w:p w14:paraId="0F481E60" w14:textId="2D1E0543" w:rsidR="0021672E" w:rsidRDefault="00CD34FC" w:rsidP="0021672E">
      <w:pPr>
        <w:pStyle w:val="Paragraph"/>
      </w:pPr>
      <w:r>
        <w:t>Gideon Water LLC (Gideon Water) and the Staff (Staff) of the</w:t>
      </w:r>
      <w:r w:rsidR="009129C2">
        <w:t xml:space="preserve"> Public Utility Commission of Texas (Commission) </w:t>
      </w:r>
      <w:r>
        <w:t xml:space="preserve">(collectively, the Parties) respectfully </w:t>
      </w:r>
      <w:r w:rsidR="005E08B1">
        <w:t xml:space="preserve">appeal Order No. 21 because it upholds Order No. 20, which incorrectly denied the Parties’ motion for an Order </w:t>
      </w:r>
      <w:r w:rsidR="005E08B1">
        <w:rPr>
          <w:i/>
          <w:iCs/>
        </w:rPr>
        <w:t xml:space="preserve">Nunc Pro Tunc </w:t>
      </w:r>
      <w:r w:rsidR="005E08B1">
        <w:t xml:space="preserve">and alternative motion to reopen the record. </w:t>
      </w:r>
      <w:r w:rsidR="0021672E">
        <w:t>To provide some background</w:t>
      </w:r>
      <w:r w:rsidR="00833842">
        <w:t>,</w:t>
      </w:r>
      <w:r w:rsidR="0021672E">
        <w:t xml:space="preserve"> Gideon Water filed an application </w:t>
      </w:r>
      <w:r w:rsidR="00833842">
        <w:t>with a proposed tariff.</w:t>
      </w:r>
      <w:r w:rsidR="0021672E">
        <w:t xml:space="preserve"> </w:t>
      </w:r>
      <w:r w:rsidR="00F40ADA">
        <w:t xml:space="preserve">Staff filed a final recommendation for Gideon Water’s application to be approved, as filed, including Gideon Water’s proposed tariff. </w:t>
      </w:r>
      <w:r w:rsidR="00833842">
        <w:t>I</w:t>
      </w:r>
      <w:r w:rsidR="0021672E">
        <w:t>n error</w:t>
      </w:r>
      <w:r w:rsidR="00833842">
        <w:t xml:space="preserve"> though</w:t>
      </w:r>
      <w:r w:rsidR="0021672E">
        <w:t>, without</w:t>
      </w:r>
      <w:r w:rsidR="0085432C">
        <w:t xml:space="preserve"> any</w:t>
      </w:r>
      <w:r w:rsidR="0021672E">
        <w:t xml:space="preserve"> explanation or support</w:t>
      </w:r>
      <w:r w:rsidR="0085432C">
        <w:t xml:space="preserve"> in the pleading or memorand</w:t>
      </w:r>
      <w:r w:rsidR="00D67DA2">
        <w:t>a</w:t>
      </w:r>
      <w:r w:rsidR="0085432C">
        <w:t xml:space="preserve"> for Staff’s final recommendation</w:t>
      </w:r>
      <w:r w:rsidR="0021672E">
        <w:t xml:space="preserve">, </w:t>
      </w:r>
      <w:r w:rsidR="0085432C">
        <w:t xml:space="preserve">the tariff attached to that recommendation </w:t>
      </w:r>
      <w:r w:rsidR="0021672E">
        <w:t>included language</w:t>
      </w:r>
      <w:r w:rsidR="00D921A5">
        <w:t xml:space="preserve"> </w:t>
      </w:r>
      <w:r w:rsidR="0021672E">
        <w:t>that 10,000 gallons of water is included for all meter sizes on the monthly minimum charge. Thereafter, the administrative law judge (ALJ) issued a Notice of Approval that approved Gideon Water’s application, without any findings of fact to indicate any change</w:t>
      </w:r>
      <w:r w:rsidR="00D921A5">
        <w:t>s were made</w:t>
      </w:r>
      <w:r w:rsidR="0021672E">
        <w:t xml:space="preserve"> to Gideon Water’s proposed rates. The ALJ, however, approved the tariff filed with the erroneous language, because </w:t>
      </w:r>
      <w:r w:rsidR="00D921A5">
        <w:t xml:space="preserve">and only because </w:t>
      </w:r>
      <w:r w:rsidR="0021672E">
        <w:t xml:space="preserve">that was the tariff filed in the docket with Staff’s final recommendation.   </w:t>
      </w:r>
    </w:p>
    <w:p w14:paraId="20420DD7" w14:textId="73BCB673" w:rsidR="003914EF" w:rsidRDefault="0021672E" w:rsidP="005A7A1F">
      <w:pPr>
        <w:pStyle w:val="Paragraph"/>
      </w:pPr>
      <w:r>
        <w:t xml:space="preserve">Since </w:t>
      </w:r>
      <w:r w:rsidR="00610E44">
        <w:t xml:space="preserve">Staff, and not </w:t>
      </w:r>
      <w:r>
        <w:t>Gideon Water</w:t>
      </w:r>
      <w:r w:rsidR="00610E44">
        <w:t>,</w:t>
      </w:r>
      <w:r>
        <w:t xml:space="preserve"> cause</w:t>
      </w:r>
      <w:r w:rsidR="00610E44">
        <w:t>d</w:t>
      </w:r>
      <w:r>
        <w:t xml:space="preserve"> the error, Staff has diligently worked with Gideon Water to resolve this issue within the context of this proceeding in a manner that is allowed by law and would be consistent with case law precedent, as well as Commission precedent. The ALJ, however, at each opportunity to resolve the error, has de</w:t>
      </w:r>
      <w:r w:rsidR="004E3DA5">
        <w:t>nied the Commission from exercising what it ultimately has the authority to do in this proceeding.</w:t>
      </w:r>
      <w:r>
        <w:t xml:space="preserve"> </w:t>
      </w:r>
    </w:p>
    <w:p w14:paraId="014FA350" w14:textId="39473F0F" w:rsidR="00B51DA4" w:rsidRDefault="00B51DA4" w:rsidP="005A7A1F">
      <w:pPr>
        <w:pStyle w:val="Paragraph"/>
      </w:pPr>
      <w:r>
        <w:t xml:space="preserve">At the core of this appeal is the need to ensure administrative and regulatory consistency, practicality, and transparency in the manner in which the Commission’s cases are processed. While the Parties do not argue that the Commission’s </w:t>
      </w:r>
      <w:r w:rsidR="005F7858">
        <w:t>ALJ</w:t>
      </w:r>
      <w:r w:rsidR="004D1539">
        <w:t>s</w:t>
      </w:r>
      <w:r w:rsidR="005F7858">
        <w:t xml:space="preserve"> </w:t>
      </w:r>
      <w:r>
        <w:t xml:space="preserve">do not exercise judicial reasoning in the review of </w:t>
      </w:r>
      <w:r w:rsidR="005F7858">
        <w:t>tariffs in all cases, the record in this proceeding demonstrates that the ALJ did not</w:t>
      </w:r>
      <w:r w:rsidR="00C24829">
        <w:t xml:space="preserve"> do</w:t>
      </w:r>
      <w:r w:rsidR="005F7858">
        <w:t xml:space="preserve"> so in this proceeding, making it an appropriate circumstance to issue an Order </w:t>
      </w:r>
      <w:r w:rsidR="005F7858">
        <w:rPr>
          <w:i/>
          <w:iCs/>
        </w:rPr>
        <w:t>Nunc Pro Tunc</w:t>
      </w:r>
      <w:r w:rsidR="005F7858">
        <w:t xml:space="preserve">. </w:t>
      </w:r>
      <w:r w:rsidR="00FC06DC">
        <w:t xml:space="preserve">In terms of transparency, the Parties only seek to ensure that the ALJs are </w:t>
      </w:r>
      <w:r w:rsidR="00277FC4">
        <w:t xml:space="preserve">not restrained by any </w:t>
      </w:r>
      <w:r w:rsidR="00277FC4">
        <w:lastRenderedPageBreak/>
        <w:t>inflexibility</w:t>
      </w:r>
      <w:r w:rsidR="00FC06DC">
        <w:t xml:space="preserve"> in </w:t>
      </w:r>
      <w:r w:rsidR="00277FC4">
        <w:t xml:space="preserve">reviewing </w:t>
      </w:r>
      <w:r w:rsidR="00FC06DC">
        <w:t>the</w:t>
      </w:r>
      <w:r w:rsidR="00277FC4">
        <w:t>ir</w:t>
      </w:r>
      <w:r w:rsidR="00FC06DC">
        <w:t xml:space="preserve"> determinations </w:t>
      </w:r>
      <w:r w:rsidR="00277FC4">
        <w:t xml:space="preserve">in any given case </w:t>
      </w:r>
      <w:r w:rsidR="00FC06DC">
        <w:t xml:space="preserve">and to </w:t>
      </w:r>
      <w:r w:rsidR="00277FC4">
        <w:t xml:space="preserve">ensure that, when applicable, they are able to </w:t>
      </w:r>
      <w:r w:rsidR="00FC06DC">
        <w:t xml:space="preserve">acknowledge </w:t>
      </w:r>
      <w:r w:rsidR="00277FC4">
        <w:t xml:space="preserve">and resolve </w:t>
      </w:r>
      <w:r w:rsidR="00FC06DC">
        <w:t>clerical mistakes</w:t>
      </w:r>
      <w:r w:rsidR="00277FC4">
        <w:t>, regardless of when the mistakes are made known to the ALJs</w:t>
      </w:r>
      <w:r w:rsidR="00FC06DC">
        <w:t xml:space="preserve">. </w:t>
      </w:r>
      <w:r w:rsidR="00277FC4">
        <w:t>Separately</w:t>
      </w:r>
      <w:r w:rsidR="005F7858">
        <w:t>, w</w:t>
      </w:r>
      <w:r>
        <w:t xml:space="preserve">hile the Parties understand the Commission’s need for finality in its orders, this appeal </w:t>
      </w:r>
      <w:r w:rsidR="005F7858">
        <w:t xml:space="preserve">also </w:t>
      </w:r>
      <w:r>
        <w:t>demonstrates</w:t>
      </w:r>
      <w:r w:rsidR="005F7858">
        <w:t xml:space="preserve"> a circumstance in which the Commission can exercise its powers to </w:t>
      </w:r>
      <w:r w:rsidR="004E73AB">
        <w:t xml:space="preserve">resolve certain issues in </w:t>
      </w:r>
      <w:r w:rsidR="005F7858">
        <w:t>an administratively efficient and certain manner</w:t>
      </w:r>
      <w:r w:rsidR="004E73AB">
        <w:t xml:space="preserve">, while </w:t>
      </w:r>
      <w:r w:rsidR="000301A9">
        <w:t>also ensuring consistency with prior Commission</w:t>
      </w:r>
      <w:r w:rsidR="004E73AB">
        <w:t xml:space="preserve"> </w:t>
      </w:r>
      <w:r w:rsidR="000301A9">
        <w:t xml:space="preserve">actions that </w:t>
      </w:r>
      <w:r w:rsidR="00277FC4">
        <w:t xml:space="preserve">have </w:t>
      </w:r>
      <w:r w:rsidR="000301A9">
        <w:t>resolved other issues in a similar manner</w:t>
      </w:r>
      <w:r w:rsidR="005F7858">
        <w:t>.</w:t>
      </w:r>
      <w:r>
        <w:t xml:space="preserve"> </w:t>
      </w:r>
    </w:p>
    <w:p w14:paraId="1665371B" w14:textId="69B65104" w:rsidR="009129C2" w:rsidRDefault="0061540D" w:rsidP="005A7A1F">
      <w:pPr>
        <w:pStyle w:val="Paragraph"/>
      </w:pPr>
      <w:r>
        <w:t xml:space="preserve"> </w:t>
      </w:r>
      <w:r w:rsidR="003F71F5">
        <w:t xml:space="preserve"> </w:t>
      </w:r>
    </w:p>
    <w:p w14:paraId="4F80E71C" w14:textId="45B72244" w:rsidR="009129C2" w:rsidRDefault="009129C2" w:rsidP="009129C2">
      <w:pPr>
        <w:pStyle w:val="Heading1"/>
        <w:tabs>
          <w:tab w:val="clear" w:pos="1440"/>
        </w:tabs>
        <w:spacing w:before="0" w:after="0" w:line="360" w:lineRule="auto"/>
        <w:ind w:left="0" w:right="0"/>
      </w:pPr>
      <w:r>
        <w:t>BACKGROUND</w:t>
      </w:r>
    </w:p>
    <w:p w14:paraId="2F3C8EDC" w14:textId="24461535" w:rsidR="00EF0230" w:rsidRDefault="00902872" w:rsidP="008C7846">
      <w:pPr>
        <w:pStyle w:val="Paragraph"/>
        <w:tabs>
          <w:tab w:val="left" w:pos="4680"/>
        </w:tabs>
      </w:pPr>
      <w:r>
        <w:rPr>
          <w:iCs/>
        </w:rPr>
        <w:t xml:space="preserve">On April 12, 2022, Gideon Water filed an application to obtain a water certificate of convenience and necessity </w:t>
      </w:r>
      <w:r w:rsidR="00BF579B">
        <w:rPr>
          <w:iCs/>
        </w:rPr>
        <w:t xml:space="preserve">(CCN) </w:t>
      </w:r>
      <w:r>
        <w:rPr>
          <w:iCs/>
        </w:rPr>
        <w:t>in Montgomery County.</w:t>
      </w:r>
      <w:r w:rsidR="00C77BC1">
        <w:rPr>
          <w:iCs/>
        </w:rPr>
        <w:t xml:space="preserve"> </w:t>
      </w:r>
      <w:r w:rsidR="007C1C19">
        <w:rPr>
          <w:iCs/>
        </w:rPr>
        <w:t xml:space="preserve">On </w:t>
      </w:r>
      <w:r>
        <w:rPr>
          <w:iCs/>
        </w:rPr>
        <w:t>July 31, 2023</w:t>
      </w:r>
      <w:r w:rsidR="007C1C19">
        <w:rPr>
          <w:iCs/>
        </w:rPr>
        <w:t xml:space="preserve">, the </w:t>
      </w:r>
      <w:r>
        <w:rPr>
          <w:iCs/>
        </w:rPr>
        <w:t xml:space="preserve">ALJ </w:t>
      </w:r>
      <w:r w:rsidR="007C1C19">
        <w:rPr>
          <w:iCs/>
        </w:rPr>
        <w:t xml:space="preserve">filed </w:t>
      </w:r>
      <w:r w:rsidR="00E15ED5">
        <w:rPr>
          <w:iCs/>
        </w:rPr>
        <w:t>a Notice of Approval</w:t>
      </w:r>
      <w:r w:rsidR="00E15ED5">
        <w:t xml:space="preserve">, approving </w:t>
      </w:r>
      <w:r w:rsidR="00BF579B">
        <w:t xml:space="preserve">Gideon Water’s application and issuing Gideon Water CCN No. 13304. The ALJ also approved a tariff </w:t>
      </w:r>
      <w:r w:rsidR="001276F3">
        <w:t xml:space="preserve">that </w:t>
      </w:r>
      <w:r w:rsidR="00BF579B">
        <w:t xml:space="preserve">relevantly </w:t>
      </w:r>
      <w:r w:rsidR="00510796">
        <w:t xml:space="preserve">1) </w:t>
      </w:r>
      <w:r w:rsidR="001276F3">
        <w:t xml:space="preserve">states that 10,000 gallons of water is included for all meter sizes and </w:t>
      </w:r>
      <w:r w:rsidR="00510796">
        <w:t xml:space="preserve">2) </w:t>
      </w:r>
      <w:r w:rsidR="001276F3">
        <w:t xml:space="preserve">does not include </w:t>
      </w:r>
      <w:r w:rsidR="00E560FF">
        <w:t xml:space="preserve">a </w:t>
      </w:r>
      <w:r w:rsidR="001276F3">
        <w:t xml:space="preserve">pass-through </w:t>
      </w:r>
      <w:r w:rsidR="00E560FF">
        <w:t>provision</w:t>
      </w:r>
      <w:r w:rsidR="001276F3">
        <w:t>.</w:t>
      </w:r>
      <w:r w:rsidR="00BF579B">
        <w:t xml:space="preserve"> </w:t>
      </w:r>
      <w:r w:rsidR="00C44E0C">
        <w:t xml:space="preserve">On October 25, 2023, Gideon Water filed a request for reconsideration of the tariff that was </w:t>
      </w:r>
      <w:r w:rsidR="00510796">
        <w:t>approved</w:t>
      </w:r>
      <w:r w:rsidR="00C44E0C">
        <w:t xml:space="preserve"> to </w:t>
      </w:r>
      <w:r w:rsidR="00510796">
        <w:t xml:space="preserve">1) </w:t>
      </w:r>
      <w:r w:rsidR="00C44E0C">
        <w:t xml:space="preserve">remove the language stating that 10,000 gallons of water is included for all meter sizes and </w:t>
      </w:r>
      <w:r w:rsidR="00510796">
        <w:t xml:space="preserve">2) </w:t>
      </w:r>
      <w:r w:rsidR="00C44E0C">
        <w:t xml:space="preserve">include language for </w:t>
      </w:r>
      <w:r w:rsidR="00E560FF">
        <w:t>a</w:t>
      </w:r>
      <w:r w:rsidR="00C44E0C">
        <w:t xml:space="preserve"> pass-through </w:t>
      </w:r>
      <w:r w:rsidR="00E560FF">
        <w:t>provision</w:t>
      </w:r>
      <w:r w:rsidR="00C44E0C">
        <w:t>. On October 30, 2023, the ALJ denied the request for reconsideration</w:t>
      </w:r>
      <w:r w:rsidR="002D4D18">
        <w:t>.</w:t>
      </w:r>
      <w:r w:rsidR="00CD34FC">
        <w:t xml:space="preserve"> On March 6, 2024, </w:t>
      </w:r>
      <w:r w:rsidR="00E44478">
        <w:t xml:space="preserve">the Parties filed a joint motion for Order </w:t>
      </w:r>
      <w:r w:rsidR="00E44478">
        <w:rPr>
          <w:i/>
          <w:iCs/>
        </w:rPr>
        <w:t>Nunc Pro Tunc</w:t>
      </w:r>
      <w:r w:rsidR="00E44478">
        <w:t xml:space="preserve"> or, alternatively, to reopen the record.</w:t>
      </w:r>
      <w:r w:rsidR="008C7846">
        <w:rPr>
          <w:iCs/>
        </w:rPr>
        <w:t xml:space="preserve"> </w:t>
      </w:r>
      <w:r w:rsidR="00E44478">
        <w:t xml:space="preserve">On March 26, 2024, the ALJ filed Order No. 20, denying the motion for Order </w:t>
      </w:r>
      <w:r w:rsidR="00E44478">
        <w:rPr>
          <w:i/>
          <w:iCs/>
        </w:rPr>
        <w:t>Nunc Pro Tunc</w:t>
      </w:r>
      <w:r w:rsidR="00E44478">
        <w:t xml:space="preserve"> and motion to reopen the record. In response, the Parties file</w:t>
      </w:r>
      <w:r w:rsidR="005E08B1">
        <w:t>d</w:t>
      </w:r>
      <w:r w:rsidR="00E44478">
        <w:t xml:space="preserve"> </w:t>
      </w:r>
      <w:r w:rsidR="005E08B1">
        <w:t xml:space="preserve">a </w:t>
      </w:r>
      <w:r w:rsidR="00E44478">
        <w:t>request for reconsideration of Order No. 20.</w:t>
      </w:r>
      <w:r w:rsidR="005E08B1">
        <w:t xml:space="preserve"> On April 18, 2024, the ALJ filed Order No. 21, denying reconsideration of Order No. 21. Therefore, pursuant to 16 </w:t>
      </w:r>
      <w:r w:rsidR="00B91D0D">
        <w:t xml:space="preserve">TAC </w:t>
      </w:r>
      <w:r w:rsidR="00B91D0D" w:rsidRPr="00B91D0D">
        <w:t>§</w:t>
      </w:r>
      <w:r w:rsidR="00B91D0D">
        <w:t xml:space="preserve"> 22.123(a)(2), the Parties timely file this appeal</w:t>
      </w:r>
      <w:r w:rsidR="00A44980">
        <w:t xml:space="preserve"> of Order No. 21, and by extension</w:t>
      </w:r>
      <w:r w:rsidR="00C2223E">
        <w:t xml:space="preserve"> </w:t>
      </w:r>
      <w:r w:rsidR="00A44980">
        <w:t>Order No. 20</w:t>
      </w:r>
      <w:r w:rsidR="00B91D0D">
        <w:t>.</w:t>
      </w:r>
      <w:r w:rsidR="00B91D0D">
        <w:rPr>
          <w:rStyle w:val="FootnoteReference"/>
        </w:rPr>
        <w:footnoteReference w:id="2"/>
      </w:r>
      <w:r w:rsidR="00C2223E">
        <w:t xml:space="preserve"> </w:t>
      </w:r>
    </w:p>
    <w:p w14:paraId="2948082A" w14:textId="405C6FF3" w:rsidR="00E44478" w:rsidRPr="008C7846" w:rsidRDefault="00EF0230" w:rsidP="008C7846">
      <w:pPr>
        <w:pStyle w:val="Paragraph"/>
        <w:tabs>
          <w:tab w:val="left" w:pos="4680"/>
        </w:tabs>
        <w:rPr>
          <w:iCs/>
        </w:rPr>
      </w:pPr>
      <w:r>
        <w:t xml:space="preserve">In addition, for clarity, this appeal does not seek to include language for a pass-through provision. Specifically, the provision was not sought in the application or tariff provided by Gideon Water, and Staff’s final recommendation did not include comments on a pass-through provision. Further, such a pass-through provision is not relevant unless an applicant also seeks to implement it for a specifically defined pass-through fee, which was not requested here. Thus, the corrected </w:t>
      </w:r>
      <w:r>
        <w:lastRenderedPageBreak/>
        <w:t xml:space="preserve">tariff only seeks to remove the language stating that 10,000 gallons of water is included for all meter sizes. </w:t>
      </w:r>
      <w:r w:rsidR="00C2223E">
        <w:t xml:space="preserve"> </w:t>
      </w:r>
    </w:p>
    <w:p w14:paraId="61E054F0" w14:textId="77777777" w:rsidR="00EA36EC" w:rsidRDefault="00EA36EC" w:rsidP="007C1C19">
      <w:pPr>
        <w:pStyle w:val="Paragraph"/>
      </w:pPr>
    </w:p>
    <w:p w14:paraId="626A0952" w14:textId="3D9548E8" w:rsidR="007825AB" w:rsidRDefault="007825AB" w:rsidP="007C1C19">
      <w:pPr>
        <w:pStyle w:val="Heading1"/>
        <w:tabs>
          <w:tab w:val="clear" w:pos="1440"/>
        </w:tabs>
        <w:spacing w:before="0" w:after="0" w:line="360" w:lineRule="auto"/>
        <w:ind w:left="0" w:right="0"/>
      </w:pPr>
      <w:r>
        <w:t xml:space="preserve">BASIS FOR </w:t>
      </w:r>
      <w:r w:rsidR="00C2223E">
        <w:t xml:space="preserve">APPEAL </w:t>
      </w:r>
    </w:p>
    <w:p w14:paraId="77F670BA" w14:textId="3BAC7CBA" w:rsidR="007825AB" w:rsidRDefault="007825AB" w:rsidP="007825AB">
      <w:pPr>
        <w:pStyle w:val="Paragraph"/>
      </w:pPr>
      <w:r>
        <w:t>Order No. 21, and by extension Order No. 20, have the potential to immediately prejudice Gideon Water’s substantial and material right to provide service to future customers and charge such customers rates that are transparent or not misleading. To require Gideon Water to correct the error outside of this proceeding might require Gideon Water to file a rate application and potentially incur otherwise unneeded rate-case expenses. However, a simple clerical error like this should not require Gideon Water to file a rate application to make such a revision, especially when there is no regulatory certainty whether the Commission would allow Gideon Water to make the revision in an expedited manner as requested by Gideon Water in Tariff Control No. 55819</w:t>
      </w:r>
      <w:r w:rsidR="00057135">
        <w:t>.</w:t>
      </w:r>
      <w:r>
        <w:rPr>
          <w:rStyle w:val="FootnoteReference"/>
        </w:rPr>
        <w:footnoteReference w:id="3"/>
      </w:r>
      <w:r>
        <w:t xml:space="preserve"> Specifically, Gideon Water sought to make corrections to its tariff in Tariff Control No. 55819 pursuant to Texas Water Code (TWC) § 13.244(e), while the ALJ has already filed a proposal for decision to dismiss Gideon Water’s application</w:t>
      </w:r>
      <w:r w:rsidR="00057135">
        <w:t>.</w:t>
      </w:r>
      <w:r>
        <w:rPr>
          <w:rStyle w:val="FootnoteReference"/>
        </w:rPr>
        <w:footnoteReference w:id="4"/>
      </w:r>
      <w:r>
        <w:t xml:space="preserve"> </w:t>
      </w:r>
      <w:r w:rsidR="00057135">
        <w:t xml:space="preserve">Prior to the proposal for decision, the ALJ inquired </w:t>
      </w:r>
      <w:r>
        <w:t>into the potential for Gideon Water to proceed on its application under 16 Texas Administrative Code (TAC) § 24.25(b)(3).</w:t>
      </w:r>
      <w:r>
        <w:rPr>
          <w:rStyle w:val="FootnoteReference"/>
        </w:rPr>
        <w:footnoteReference w:id="5"/>
      </w:r>
      <w:r>
        <w:t xml:space="preserve"> While Staff does not take a position in this appeal on the applicability of TWC § 13.244(e) or 16 TAC § 24.25(b)(3) to make the correction or revision to Gideon Water’s tariff, the Parties are not aware of any proceeding in which the Commission has processed a correction to a tariff pursuant to TWC § 13.244(e) or a revision pursuant to 16 TAC § 24.25(b)(3), demonstrating the lack of regulatory uncertainty. Accordingly, the Parties </w:t>
      </w:r>
      <w:r w:rsidR="006E5DE8">
        <w:t xml:space="preserve">respectfully request that </w:t>
      </w:r>
      <w:r>
        <w:t xml:space="preserve">the Commission grant the appeal </w:t>
      </w:r>
      <w:r w:rsidR="006E5DE8">
        <w:t xml:space="preserve">and </w:t>
      </w:r>
      <w:r>
        <w:t xml:space="preserve">issue an Order </w:t>
      </w:r>
      <w:r>
        <w:rPr>
          <w:i/>
          <w:iCs/>
        </w:rPr>
        <w:t>Nunc Pro Tunc</w:t>
      </w:r>
      <w:r>
        <w:t>, as discussed in Section IV below,</w:t>
      </w:r>
      <w:r>
        <w:rPr>
          <w:i/>
          <w:iCs/>
        </w:rPr>
        <w:t xml:space="preserve"> </w:t>
      </w:r>
      <w:r>
        <w:t>or alternatively, reopen the record to allow the Parties correct the tariff for a corrected notice of approval, as discussed in Section V below.</w:t>
      </w:r>
    </w:p>
    <w:p w14:paraId="2BD33B80" w14:textId="77777777" w:rsidR="007825AB" w:rsidRPr="007825AB" w:rsidRDefault="007825AB" w:rsidP="007825AB">
      <w:pPr>
        <w:pStyle w:val="Paragraph"/>
      </w:pPr>
    </w:p>
    <w:p w14:paraId="14008776" w14:textId="2C86638E" w:rsidR="007C1C19" w:rsidRDefault="007825AB" w:rsidP="007C1C19">
      <w:pPr>
        <w:pStyle w:val="Heading1"/>
        <w:tabs>
          <w:tab w:val="clear" w:pos="1440"/>
        </w:tabs>
        <w:spacing w:before="0" w:after="0" w:line="360" w:lineRule="auto"/>
        <w:ind w:left="0" w:right="0"/>
      </w:pPr>
      <w:r>
        <w:lastRenderedPageBreak/>
        <w:t xml:space="preserve">APPEAL </w:t>
      </w:r>
      <w:r w:rsidR="00C2223E">
        <w:t xml:space="preserve">RELATED TO DENIAL OF </w:t>
      </w:r>
      <w:r w:rsidR="00D728E4">
        <w:t xml:space="preserve">MOTION FOR </w:t>
      </w:r>
      <w:r w:rsidR="00642894">
        <w:t xml:space="preserve">ORDER </w:t>
      </w:r>
      <w:r w:rsidR="00642894" w:rsidRPr="00D3180F">
        <w:rPr>
          <w:i/>
          <w:iCs/>
        </w:rPr>
        <w:t>NUNC PRO TUNC</w:t>
      </w:r>
    </w:p>
    <w:p w14:paraId="78BD7E4B" w14:textId="6B298A62" w:rsidR="006E5DE8" w:rsidRDefault="006E5DE8" w:rsidP="006E5DE8">
      <w:pPr>
        <w:pStyle w:val="Paragraph"/>
      </w:pPr>
      <w:r>
        <w:t>The proposed correction to the tariff to remove the erroneous language stating that 10,000 gallons of water is included for all meter sizes 1) accurately reflects the true decision reached by the ALJ and 2) does not involve additional judicial reasoning.</w:t>
      </w:r>
      <w:r w:rsidRPr="005E60E3">
        <w:rPr>
          <w:rStyle w:val="FootnoteReference"/>
        </w:rPr>
        <w:t xml:space="preserve"> </w:t>
      </w:r>
      <w:r>
        <w:t xml:space="preserve">Accordingly, the correction should be considered the correction of a clerical error and not a judicial error. Specifically, after a court’s plenary power has expired, an Order </w:t>
      </w:r>
      <w:r>
        <w:rPr>
          <w:i/>
          <w:iCs/>
        </w:rPr>
        <w:t>N</w:t>
      </w:r>
      <w:r w:rsidRPr="006667CC">
        <w:rPr>
          <w:i/>
          <w:iCs/>
        </w:rPr>
        <w:t xml:space="preserve">unc </w:t>
      </w:r>
      <w:r>
        <w:rPr>
          <w:i/>
          <w:iCs/>
        </w:rPr>
        <w:t>P</w:t>
      </w:r>
      <w:r w:rsidRPr="006667CC">
        <w:rPr>
          <w:i/>
          <w:iCs/>
        </w:rPr>
        <w:t xml:space="preserve">ro </w:t>
      </w:r>
      <w:r>
        <w:rPr>
          <w:i/>
          <w:iCs/>
        </w:rPr>
        <w:t>T</w:t>
      </w:r>
      <w:r w:rsidRPr="006667CC">
        <w:rPr>
          <w:i/>
          <w:iCs/>
        </w:rPr>
        <w:t>unc</w:t>
      </w:r>
      <w:r>
        <w:t xml:space="preserve"> can correct clerical errors, which are errors in entering or recording the decision, but not judicial errors, which are errors in the rendering of the of the judgment.</w:t>
      </w:r>
      <w:r>
        <w:rPr>
          <w:rStyle w:val="FootnoteReference"/>
        </w:rPr>
        <w:footnoteReference w:id="6"/>
      </w:r>
      <w:r>
        <w:t xml:space="preserve"> Further, “[t]he salient distinction between ‘clerical’ and ‘judicial’ errors lies in the exercise of the judgmental offices of the court.…[and] [a] clerical error is one which does not result from judicial reasoning or determination.”</w:t>
      </w:r>
      <w:r>
        <w:rPr>
          <w:rStyle w:val="FootnoteReference"/>
        </w:rPr>
        <w:footnoteReference w:id="7"/>
      </w:r>
      <w:r>
        <w:t xml:space="preserve"> Lastly, an Order </w:t>
      </w:r>
      <w:r>
        <w:rPr>
          <w:i/>
          <w:iCs/>
        </w:rPr>
        <w:t>Nunc Pro Tunc</w:t>
      </w:r>
      <w:r>
        <w:t xml:space="preserve"> is allowed “where it can be seen by reference to a record what was intended to be entered but which was omitted by inadvertence or mistake, upon satisfactory proof of its rendition </w:t>
      </w:r>
      <w:r>
        <w:rPr>
          <w:i/>
          <w:iCs/>
        </w:rPr>
        <w:t>provided that no intervening rights will be prejudiced</w:t>
      </w:r>
      <w:r>
        <w:t>.”</w:t>
      </w:r>
      <w:r>
        <w:rPr>
          <w:rStyle w:val="FootnoteReference"/>
        </w:rPr>
        <w:footnoteReference w:id="8"/>
      </w:r>
    </w:p>
    <w:p w14:paraId="18A2EBC6" w14:textId="77777777" w:rsidR="006E5DE8" w:rsidRDefault="006E5DE8" w:rsidP="006E5DE8">
      <w:pPr>
        <w:pStyle w:val="Paragraph"/>
      </w:pPr>
      <w:r>
        <w:t>In this proceeding, the judgment rendered by the ALJ was to approve the application, including Gideon Water’s proposed rates. Specifically, the record indicates that 1) Gideon Water included proposed rates in a tariff in its application;</w:t>
      </w:r>
      <w:r>
        <w:rPr>
          <w:rStyle w:val="FootnoteReference"/>
        </w:rPr>
        <w:footnoteReference w:id="9"/>
      </w:r>
      <w:r>
        <w:t xml:space="preserve"> 2) Commission Staff recommended approval of Gideon Water’s application, including Gideon Water’s proposed rates, and did not recommend any changes to Gideon Water’s proposed rates;</w:t>
      </w:r>
      <w:r>
        <w:rPr>
          <w:rStyle w:val="FootnoteReference"/>
        </w:rPr>
        <w:footnoteReference w:id="10"/>
      </w:r>
      <w:r>
        <w:t xml:space="preserve"> and 3) the Commission issued a Notice of Approval that did not include any findings of fact regarding any changes recommended by Staff.</w:t>
      </w:r>
      <w:r>
        <w:rPr>
          <w:rStyle w:val="FootnoteReference"/>
        </w:rPr>
        <w:footnoteReference w:id="11"/>
      </w:r>
      <w:r>
        <w:t xml:space="preserve"> In contrast, when Staff recommends changes to the rates proposed by an applicant, Staff’s experts explicitly recommend such changes, and the Commission includes findings of fact regarding such changes. For example, in Docket No. 50083, Solar Village Homeowners Association proposed a </w:t>
      </w:r>
      <w:r>
        <w:lastRenderedPageBreak/>
        <w:t>flat rate of $60 per customer per month in the tariff included as a supplement to the application,</w:t>
      </w:r>
      <w:r>
        <w:rPr>
          <w:rStyle w:val="FootnoteReference"/>
        </w:rPr>
        <w:footnoteReference w:id="12"/>
      </w:r>
      <w:r>
        <w:t xml:space="preserve"> and Staff’s experts analyzed the application and supplemental information and recommended a flat rate of $80.28 per month per connection.</w:t>
      </w:r>
      <w:r>
        <w:rPr>
          <w:rStyle w:val="FootnoteReference"/>
        </w:rPr>
        <w:footnoteReference w:id="13"/>
      </w:r>
      <w:r>
        <w:t xml:space="preserve"> The subsequent Notice of Approval included findings of fact related to Staff’s recommended rate adjustment.</w:t>
      </w:r>
      <w:r>
        <w:rPr>
          <w:rStyle w:val="FootnoteReference"/>
        </w:rPr>
        <w:footnoteReference w:id="14"/>
      </w:r>
      <w:r>
        <w:t xml:space="preserve"> Here, neither of Staff’s experts made adjustments to Gideon Water’s proposed rates in their recommendations and the Notice of Approval does not indicate that any adjustments were recommended by Staff or approved by the ALJ. </w:t>
      </w:r>
    </w:p>
    <w:p w14:paraId="32FB9956" w14:textId="77777777" w:rsidR="00C77BC1" w:rsidRDefault="006E5DE8" w:rsidP="00C77BC1">
      <w:pPr>
        <w:pStyle w:val="Paragraph"/>
      </w:pPr>
      <w:r>
        <w:t>Interpreting the Notice of Approval to have approved a tariff with the erroneous language included is without merit. Specifically, in addition to the failure of the Notice of Approval to include any findings related to any Staff adjustment, a thorough review of the record and a reading of the entire Notice of Approval indicates that the Commission’s true decision in this proceeding was to approve Gideon Water’s originally requested rates.</w:t>
      </w:r>
      <w:r w:rsidR="00C77BC1">
        <w:t xml:space="preserve"> As it pertains to Gideon Water’s proposed rates, the ALJ in Order No. 20 indicated that “[t]he rates requested by Gideon Water reflect that some unknown gallonage was contemplated for inclusion as part of the monthly minimum charge for 5/8” and 3/4” meters.”</w:t>
      </w:r>
      <w:r w:rsidR="00C77BC1">
        <w:rPr>
          <w:rStyle w:val="FootnoteReference"/>
        </w:rPr>
        <w:footnoteReference w:id="15"/>
      </w:r>
      <w:r w:rsidR="00C77BC1">
        <w:t xml:space="preserve"> However, as seen by reference to the full record, the unambiguous interpretation is that Gideon Water did not propose to include or contemplate the inclusion of any nonzero gallonage amount for the monthly minimum charge. Specifically, it is evident that Gideon Water used the Commission’s template to propose its rates. The first page of the tariff includes an empty underline for the docket number and language indicating “[the] number will be assigned by the Public Utility Commission after your tariff is filed.”</w:t>
      </w:r>
      <w:r w:rsidR="00C77BC1">
        <w:rPr>
          <w:rStyle w:val="FootnoteReference"/>
        </w:rPr>
        <w:footnoteReference w:id="16"/>
      </w:r>
      <w:r w:rsidR="00C77BC1">
        <w:t xml:space="preserve"> Further, each page on the tariff has a footer with language for the form type and last revision date.</w:t>
      </w:r>
      <w:r w:rsidR="00C77BC1">
        <w:rPr>
          <w:rStyle w:val="FootnoteReference"/>
        </w:rPr>
        <w:footnoteReference w:id="17"/>
      </w:r>
      <w:r w:rsidR="00C77BC1">
        <w:t xml:space="preserve"> Lastly, the tariff includes both underlined (e.g. utility name, page numbers, miscellaneous fees, etc.) and shaded </w:t>
      </w:r>
      <w:r w:rsidR="00C77BC1">
        <w:lastRenderedPageBreak/>
        <w:t xml:space="preserve">parts (e.g. monthly minimum charges for each meter size and the gallonage charges per 1000 gallons for unspecified amounts or gallons) that signify information that will be entered by an applicant in a given application. </w:t>
      </w:r>
    </w:p>
    <w:p w14:paraId="793652AD" w14:textId="793E3DB0" w:rsidR="00C77BC1" w:rsidRDefault="00C77BC1" w:rsidP="00C77BC1">
      <w:pPr>
        <w:pStyle w:val="Paragraph"/>
      </w:pPr>
      <w:r>
        <w:t xml:space="preserve">In contrast, the erroneous tariff prepared by Staff and approved by the ALJ includes the docket number on the first page and on the footer and also no longer has shading over the rates. Altogether, these differences highlight that Gideon Water only entered information to complete the template for its application. And as far as the template, the term “(Includes gallons)” is neither underlined nor shaded. While that would not necessarily prevent an applicant from proposing a nonzero gallonage to be applied to the monthly minimum charges, the fact that Gideon Water did not explicitly propose any such number can only suggest that Gideon Water instead proposed that the language should be interpreted as “(Includes </w:t>
      </w:r>
      <w:r w:rsidRPr="00A55E3F">
        <w:rPr>
          <w:u w:val="single"/>
        </w:rPr>
        <w:t>0</w:t>
      </w:r>
      <w:r>
        <w:t xml:space="preserve"> gallons)” or that the language “(Includes gallons)” should not be included on the tariff at all. Accordingly, Gideon Water’s proposed rates do not reflect that some unknown gallonage was contemplated for inclusion as part of the monthly minimum charge. </w:t>
      </w:r>
    </w:p>
    <w:p w14:paraId="63D19401" w14:textId="47A890F5" w:rsidR="00A94BEB" w:rsidRDefault="00C77BC1" w:rsidP="00A94BEB">
      <w:pPr>
        <w:pStyle w:val="Paragraph"/>
      </w:pPr>
      <w:r>
        <w:t>To suggest otherwise would also render Findings of Fact Nos. 47-49 in the Notice of Approval meaningless insofar as the information included with the rate study in Gideon Water’s application.</w:t>
      </w:r>
      <w:r>
        <w:rPr>
          <w:rStyle w:val="FootnoteReference"/>
        </w:rPr>
        <w:footnoteReference w:id="18"/>
      </w:r>
      <w:r>
        <w:t xml:space="preserve"> To have left the gallonage amount to be unspecified, Gideon Water could not have provided a sufficient and meaningful rate study, including the necessary pro forma financial statements, calculations, and assumptions for projections in support of its proposed rates. Instead, as shown by the projected income and expense statements for fiscal years 1-5, the inclusion of the monthly water use charged at the base rate in the calculations for usage amounts up to 10,000 gallons proves that the monthly minimum charges includes </w:t>
      </w:r>
      <w:r>
        <w:rPr>
          <w:u w:val="single"/>
        </w:rPr>
        <w:t>0</w:t>
      </w:r>
      <w:r>
        <w:t xml:space="preserve"> gallons and not some unspecified nonzero gallonage amount, let alone 10,000 gallons.</w:t>
      </w:r>
      <w:r>
        <w:rPr>
          <w:rStyle w:val="FootnoteReference"/>
        </w:rPr>
        <w:footnoteReference w:id="19"/>
      </w:r>
      <w:r>
        <w:t xml:space="preserve"> Therefore, </w:t>
      </w:r>
      <w:r w:rsidRPr="006365E3">
        <w:rPr>
          <w:b/>
          <w:bCs/>
          <w:i/>
          <w:iCs/>
        </w:rPr>
        <w:t>because no such ambiguity existed</w:t>
      </w:r>
      <w:r>
        <w:t xml:space="preserve"> in Gideon Water’s proposed rates, Staff’s tariff, filed on March 31, 2023, did not have any ambiguities to resolve, which clearly indicates that the nature of this error is clerical and not judicial. </w:t>
      </w:r>
    </w:p>
    <w:p w14:paraId="14897124" w14:textId="77777777" w:rsidR="00F874BA" w:rsidRDefault="006E5DE8" w:rsidP="006E5DE8">
      <w:pPr>
        <w:pStyle w:val="Paragraph"/>
      </w:pPr>
      <w:r>
        <w:t xml:space="preserve">Separately, even though the erroneous language was included in the tariff attached to Staff’s final recommendation, </w:t>
      </w:r>
      <w:r w:rsidRPr="009E62A8">
        <w:t>nothing in that tariff</w:t>
      </w:r>
      <w:r>
        <w:t xml:space="preserve"> nor</w:t>
      </w:r>
      <w:r w:rsidRPr="009E62A8">
        <w:t xml:space="preserve"> any language related to Gideon Water’s </w:t>
      </w:r>
      <w:r w:rsidRPr="009E62A8">
        <w:lastRenderedPageBreak/>
        <w:t xml:space="preserve">proposed rates </w:t>
      </w:r>
      <w:r>
        <w:t>or</w:t>
      </w:r>
      <w:r w:rsidRPr="009E62A8">
        <w:t xml:space="preserve"> Staff’s proposed tariff in the joint proposed notice of approval</w:t>
      </w:r>
      <w:r>
        <w:t>,</w:t>
      </w:r>
      <w:r w:rsidRPr="009E62A8">
        <w:t xml:space="preserve"> filed on April 26, 2023,</w:t>
      </w:r>
      <w:r w:rsidRPr="009E62A8">
        <w:rPr>
          <w:rStyle w:val="FootnoteReference"/>
        </w:rPr>
        <w:footnoteReference w:id="20"/>
      </w:r>
      <w:r w:rsidRPr="009E62A8">
        <w:t xml:space="preserve"> require</w:t>
      </w:r>
      <w:r w:rsidR="001122BC">
        <w:t>d the ALJ to exercise</w:t>
      </w:r>
      <w:r w:rsidRPr="009E62A8">
        <w:t xml:space="preserve"> additional judicial reasoning or determination </w:t>
      </w:r>
      <w:r w:rsidR="001122BC">
        <w:t xml:space="preserve">to approve the </w:t>
      </w:r>
      <w:r>
        <w:t xml:space="preserve">tariff </w:t>
      </w:r>
      <w:r w:rsidR="001122BC">
        <w:t>attached to the</w:t>
      </w:r>
      <w:r w:rsidRPr="009E62A8">
        <w:t xml:space="preserve"> Notice of Approval.</w:t>
      </w:r>
      <w:r w:rsidRPr="009E62A8">
        <w:rPr>
          <w:rStyle w:val="FootnoteReference"/>
        </w:rPr>
        <w:footnoteReference w:id="21"/>
      </w:r>
      <w:r>
        <w:t xml:space="preserve"> </w:t>
      </w:r>
      <w:r w:rsidRPr="009E62A8">
        <w:t xml:space="preserve">Stated similarly, it is obvious </w:t>
      </w:r>
      <w:r>
        <w:t xml:space="preserve">that </w:t>
      </w:r>
      <w:r w:rsidRPr="009E62A8">
        <w:t>the ALJ relied on Staff’s tariff, albeit incorrect</w:t>
      </w:r>
      <w:r>
        <w:t xml:space="preserve"> tariff</w:t>
      </w:r>
      <w:r w:rsidRPr="009E62A8">
        <w:t>, only to properly record the decision it had reached in rendering judgment to approve Gideon Water’s application</w:t>
      </w:r>
      <w:r>
        <w:t>, which necessarily included Gideon Water’s originally proposed rates.</w:t>
      </w:r>
      <w:r>
        <w:rPr>
          <w:rStyle w:val="FootnoteReference"/>
        </w:rPr>
        <w:footnoteReference w:id="22"/>
      </w:r>
      <w:r>
        <w:t xml:space="preserve"> </w:t>
      </w:r>
      <w:r w:rsidR="009A012E">
        <w:t xml:space="preserve">To support this argument, Staff notes that the Commission in other circumstances has attached incorrect tariffs to notices of approval. As an example, in Docket No. 53463, the ALJ erroneously attached a previously filed version of a tariff to the Notice of Approval, necessitating the parties to </w:t>
      </w:r>
      <w:r w:rsidR="001A32E6">
        <w:t xml:space="preserve">file a joint motion for rehearing for the ALJ to attach </w:t>
      </w:r>
      <w:r w:rsidR="009A012E">
        <w:t xml:space="preserve">the correct version </w:t>
      </w:r>
      <w:r w:rsidR="001A32E6">
        <w:t>of the tariff that had been</w:t>
      </w:r>
      <w:r w:rsidR="009A012E">
        <w:t xml:space="preserve"> filed in the docket and included as evidence.</w:t>
      </w:r>
      <w:r w:rsidR="009A012E">
        <w:rPr>
          <w:rStyle w:val="FootnoteReference"/>
        </w:rPr>
        <w:footnoteReference w:id="23"/>
      </w:r>
      <w:r w:rsidR="009A012E">
        <w:t xml:space="preserve"> </w:t>
      </w:r>
    </w:p>
    <w:p w14:paraId="01B40FCC" w14:textId="1EEA7AFC" w:rsidR="00F874BA" w:rsidRDefault="003F0205" w:rsidP="00F874BA">
      <w:pPr>
        <w:pStyle w:val="Paragraph"/>
      </w:pPr>
      <w:r>
        <w:t>That is not to say that ALJs do not substantively review tariffs in other proceedings for purposes of a final approval. As an example, in Docket No. 54430, the ALJ required clarification from the parties regarding information that was in the tariff submitted as evidence by the parties.</w:t>
      </w:r>
      <w:r>
        <w:rPr>
          <w:rStyle w:val="FootnoteReference"/>
        </w:rPr>
        <w:footnoteReference w:id="24"/>
      </w:r>
      <w:r>
        <w:t xml:space="preserve"> </w:t>
      </w:r>
      <w:r w:rsidR="00A90CF2">
        <w:t xml:space="preserve">In this proceeding, had the Parties intended to provide the specificity in the final tariff regarding the nonzero gallonage amount that the ALJ indicates was contemplated, that certainly would have been supported by additional details in Staff’s final recommendation, given the unusually high gallonage amount. Further, had the ALJ in this proceeding in fact interpreted Gideon Water’s proposed rates to actually contemplate a nonzero gallonage to be applied to the </w:t>
      </w:r>
      <w:r w:rsidR="009611D4">
        <w:t>monthly minimum</w:t>
      </w:r>
      <w:r w:rsidR="00A90CF2">
        <w:t xml:space="preserve"> </w:t>
      </w:r>
      <w:r w:rsidR="009611D4">
        <w:t>charges</w:t>
      </w:r>
      <w:r w:rsidR="00CC640F">
        <w:t xml:space="preserve"> at the time of review for final approval</w:t>
      </w:r>
      <w:r w:rsidR="009611D4">
        <w:t xml:space="preserve">, then it stands to reason that </w:t>
      </w:r>
      <w:r w:rsidR="00CC640F">
        <w:t xml:space="preserve">if </w:t>
      </w:r>
      <w:r w:rsidR="009611D4">
        <w:t>the parties sought to provide that number without any supporting details, the ALJ would have required clarification as to how the number was determined</w:t>
      </w:r>
      <w:r w:rsidR="00F874BA">
        <w:t>, like the example discussed above</w:t>
      </w:r>
      <w:r w:rsidR="009611D4">
        <w:t>.</w:t>
      </w:r>
      <w:r w:rsidR="00A90CF2">
        <w:t xml:space="preserve"> </w:t>
      </w:r>
      <w:r w:rsidR="00CC640F">
        <w:t xml:space="preserve">The ALJ, however, did not file any order requiring clarification of the </w:t>
      </w:r>
      <w:r w:rsidR="00A44EF5">
        <w:t xml:space="preserve">final </w:t>
      </w:r>
      <w:r w:rsidR="00CC640F">
        <w:t xml:space="preserve">tariff. </w:t>
      </w:r>
    </w:p>
    <w:p w14:paraId="0D0CE4A6" w14:textId="71680E48" w:rsidR="00C77BC1" w:rsidRDefault="00F874BA" w:rsidP="00F874BA">
      <w:pPr>
        <w:pStyle w:val="Paragraph"/>
      </w:pPr>
      <w:r>
        <w:t>Altogether, these examples demonstrate that</w:t>
      </w:r>
      <w:r w:rsidR="002D5011">
        <w:t>, while the ALJs generally review tariffs in a substantive manner for purposes of final approval</w:t>
      </w:r>
      <w:r w:rsidR="004A169C">
        <w:t>s</w:t>
      </w:r>
      <w:r w:rsidR="002D5011">
        <w:t>, there are some</w:t>
      </w:r>
      <w:r>
        <w:t xml:space="preserve"> circumstances</w:t>
      </w:r>
      <w:r w:rsidR="002D5011">
        <w:t xml:space="preserve"> in which </w:t>
      </w:r>
      <w:r>
        <w:t xml:space="preserve">the </w:t>
      </w:r>
      <w:r>
        <w:lastRenderedPageBreak/>
        <w:t xml:space="preserve">ALJs do not exercise judicial reasoning </w:t>
      </w:r>
      <w:r w:rsidR="002D5011">
        <w:t>to approve a tariff</w:t>
      </w:r>
      <w:r w:rsidR="004A169C">
        <w:t xml:space="preserve"> in a notice of approval</w:t>
      </w:r>
      <w:r>
        <w:t xml:space="preserve">. </w:t>
      </w:r>
      <w:r w:rsidR="001A32E6">
        <w:t>Ultimately</w:t>
      </w:r>
      <w:r w:rsidR="006E5DE8">
        <w:t xml:space="preserve">, issuing an Order </w:t>
      </w:r>
      <w:r w:rsidR="006E5DE8">
        <w:rPr>
          <w:i/>
          <w:iCs/>
        </w:rPr>
        <w:t>Nunc Pro Tunc</w:t>
      </w:r>
      <w:r w:rsidR="006E5DE8">
        <w:t xml:space="preserve"> to correct the erroneous language in the tariff would “harmonize” with the intention of the Notice of Approval to accurately reflect the ALJ’s decision to effectively approve Gideon Water’s originally proposed rates.</w:t>
      </w:r>
      <w:r w:rsidR="006E5DE8">
        <w:rPr>
          <w:rStyle w:val="FootnoteReference"/>
        </w:rPr>
        <w:footnoteReference w:id="25"/>
      </w:r>
      <w:r w:rsidR="006E5DE8">
        <w:t xml:space="preserve"> Similarly, such an order would only require a correction to a clerical error in the entry of the Notice of Approval and further does not require judicial reasoning to make such a correction.</w:t>
      </w:r>
      <w:r w:rsidR="006E5DE8">
        <w:rPr>
          <w:rStyle w:val="FootnoteReference"/>
        </w:rPr>
        <w:footnoteReference w:id="26"/>
      </w:r>
    </w:p>
    <w:p w14:paraId="42AC5DE4" w14:textId="7C89E3C2" w:rsidR="00C77BC1" w:rsidRPr="00AA09BD" w:rsidRDefault="001122BC" w:rsidP="00C77BC1">
      <w:pPr>
        <w:pStyle w:val="Paragraph"/>
      </w:pPr>
      <w:r>
        <w:t>I</w:t>
      </w:r>
      <w:r w:rsidR="00C77BC1">
        <w:t>n response to the ALJ’s indication in Order No. 2</w:t>
      </w:r>
      <w:r>
        <w:t>0</w:t>
      </w:r>
      <w:r w:rsidR="00C77BC1">
        <w:t xml:space="preserve"> that additional judicial reasoning or determination must be applied </w:t>
      </w:r>
      <w:r>
        <w:t xml:space="preserve">through consideration of documents that were filed after the date of the Notice of Approval </w:t>
      </w:r>
      <w:r w:rsidR="00C77BC1">
        <w:t xml:space="preserve">for the ALJ to </w:t>
      </w:r>
      <w:r>
        <w:t xml:space="preserve">make the </w:t>
      </w:r>
      <w:r w:rsidR="00C77BC1">
        <w:t>correct</w:t>
      </w:r>
      <w:r>
        <w:t>ion</w:t>
      </w:r>
      <w:r w:rsidR="00C77BC1">
        <w:t>,</w:t>
      </w:r>
      <w:r w:rsidR="00C77BC1">
        <w:rPr>
          <w:rStyle w:val="FootnoteReference"/>
        </w:rPr>
        <w:footnoteReference w:id="27"/>
      </w:r>
      <w:r w:rsidR="00C77BC1">
        <w:t xml:space="preserve"> there is actually nothing for the ALJ to consider that was filed after the date of the Notice of Approval. Instead, the Parties argue that the entirety of the record admitted as evidence prior to the Notice of Approval, namely the record detailed in the Parties’ motion</w:t>
      </w:r>
      <w:r>
        <w:t>s</w:t>
      </w:r>
      <w:r w:rsidR="00C77BC1">
        <w:t xml:space="preserve"> </w:t>
      </w:r>
      <w:r>
        <w:t>that preceded Order Nos. 20 and 21</w:t>
      </w:r>
      <w:r w:rsidR="00C77BC1">
        <w:t>,</w:t>
      </w:r>
      <w:r w:rsidR="00C77BC1">
        <w:rPr>
          <w:rStyle w:val="FootnoteReference"/>
        </w:rPr>
        <w:footnoteReference w:id="28"/>
      </w:r>
      <w:r w:rsidR="00C77BC1">
        <w:t xml:space="preserve"> indicates that the Notice of Approval rendered a judgment to approve Gideon Water’s proposed rates, unrestricted by the language erroneously included by Staff. </w:t>
      </w:r>
      <w:r w:rsidR="00FD4B63">
        <w:t>To that end</w:t>
      </w:r>
      <w:r w:rsidR="001A32E6">
        <w:t xml:space="preserve">, the Notice of Approval and the relevant findings of fact therein can only be interpreted as the ALJ’s approval of Gideon Water’s proposed rates that do not include or contemplate the inclusion of 10,000 gallons for all meter sizes. Therefore, the inclusion of the erroneous language in the tariff attached to the signed Notice of Approval inaccurately reflects the true decision of the ALJ, such that the clerical error can properly be corrected by an Order </w:t>
      </w:r>
      <w:r w:rsidR="001A32E6">
        <w:rPr>
          <w:i/>
          <w:iCs/>
        </w:rPr>
        <w:t>Nunc Pro Tunc</w:t>
      </w:r>
      <w:r w:rsidR="001A32E6">
        <w:t>.</w:t>
      </w:r>
      <w:r w:rsidR="001A32E6">
        <w:rPr>
          <w:rStyle w:val="FootnoteReference"/>
        </w:rPr>
        <w:footnoteReference w:id="29"/>
      </w:r>
      <w:r w:rsidR="00C77BC1">
        <w:t xml:space="preserve"> </w:t>
      </w:r>
    </w:p>
    <w:p w14:paraId="43EA8EAA" w14:textId="77777777" w:rsidR="006E5DE8" w:rsidRDefault="006E5DE8" w:rsidP="006E5DE8">
      <w:pPr>
        <w:pStyle w:val="Paragraph"/>
      </w:pPr>
      <w:r>
        <w:t>Further, Staff, and more importantly, Gideon Water, are not precluded from contending the error was clerical, even though Staff was the cause of the erroneous language and not the ALJ.</w:t>
      </w:r>
      <w:r>
        <w:rPr>
          <w:rStyle w:val="FootnoteReference"/>
        </w:rPr>
        <w:footnoteReference w:id="30"/>
      </w:r>
      <w:r>
        <w:t xml:space="preserve"> As detailed above, because a correction to the tariff would not affect the judgment as rendered and </w:t>
      </w:r>
      <w:r>
        <w:lastRenderedPageBreak/>
        <w:t xml:space="preserve">because the ALJ did not rely on the tariff to approve Gideon Water’s application, including Gideon Water’s originally proposed rates, the fact that Staff caused the error in the tariff does not preclude the error from being clerical. Lastly, because Gideon Water and Staff were the only parties in this proceeding, </w:t>
      </w:r>
      <w:r w:rsidRPr="00C7313F">
        <w:t>no intervening rights will be prejudiced</w:t>
      </w:r>
      <w:r>
        <w:t xml:space="preserve"> by the correction.</w:t>
      </w:r>
      <w:r>
        <w:rPr>
          <w:rStyle w:val="FootnoteReference"/>
        </w:rPr>
        <w:footnoteReference w:id="31"/>
      </w:r>
    </w:p>
    <w:p w14:paraId="6BE74DA4" w14:textId="77777777" w:rsidR="007C1C19" w:rsidRPr="00FE5A24" w:rsidRDefault="007C1C19" w:rsidP="007C1C19">
      <w:pPr>
        <w:pStyle w:val="Paragraph"/>
      </w:pPr>
    </w:p>
    <w:p w14:paraId="481C14D2" w14:textId="65F16814" w:rsidR="003B70A7" w:rsidRDefault="007825AB" w:rsidP="007C1C19">
      <w:pPr>
        <w:pStyle w:val="Heading1"/>
        <w:tabs>
          <w:tab w:val="clear" w:pos="1440"/>
        </w:tabs>
        <w:spacing w:before="0" w:after="0" w:line="360" w:lineRule="auto"/>
        <w:ind w:left="0" w:right="0"/>
      </w:pPr>
      <w:r>
        <w:t xml:space="preserve">APPEAL RELATED TO </w:t>
      </w:r>
      <w:r w:rsidR="003B70A7">
        <w:t xml:space="preserve">MOTION </w:t>
      </w:r>
      <w:r w:rsidR="007872F6">
        <w:t>TO REOPEN THE RECORD</w:t>
      </w:r>
    </w:p>
    <w:p w14:paraId="5D152E18" w14:textId="77F8926F" w:rsidR="00DC6013" w:rsidRDefault="006E5DE8" w:rsidP="006E5DE8">
      <w:pPr>
        <w:pStyle w:val="Paragraph"/>
        <w:rPr>
          <w:bCs/>
        </w:rPr>
      </w:pPr>
      <w:r>
        <w:t xml:space="preserve">To the extent the Commission does not issue an Order </w:t>
      </w:r>
      <w:r>
        <w:rPr>
          <w:i/>
          <w:iCs/>
        </w:rPr>
        <w:t>Nunc Pro Tunc</w:t>
      </w:r>
      <w:r>
        <w:t>, the Parties alternatively move to reopen the record for the Commission to admit and approve the attached corrected tariff</w:t>
      </w:r>
      <w:r w:rsidR="00A94BEB">
        <w:t xml:space="preserve"> in a corrected notice of approval</w:t>
      </w:r>
      <w:r>
        <w:t xml:space="preserve">. Relevantly, the Commission has previously granted motions to reopen the record to correct errors, where the motions would otherwise be considered untimely. Specifically, in Docket No. 51549, the Commission granted an untimely motion to reopen the record, so the Commission could </w:t>
      </w:r>
      <w:r>
        <w:rPr>
          <w:bCs/>
        </w:rPr>
        <w:t>admit, approve, and issue a proposed tariff that was not included in the record or the Notice of Approval.</w:t>
      </w:r>
      <w:r>
        <w:rPr>
          <w:rStyle w:val="FootnoteReference"/>
          <w:bCs/>
        </w:rPr>
        <w:footnoteReference w:id="32"/>
      </w:r>
      <w:r>
        <w:rPr>
          <w:bCs/>
        </w:rPr>
        <w:t xml:space="preserve"> Further, the motion to reopen the record in the docket was based on an error by the parties, who inadvertently did not include the proposed tariff with the joint motion to admit evidence and proposed notice of approval.</w:t>
      </w:r>
      <w:r>
        <w:rPr>
          <w:rStyle w:val="FootnoteReference"/>
          <w:bCs/>
        </w:rPr>
        <w:footnoteReference w:id="33"/>
      </w:r>
      <w:r>
        <w:rPr>
          <w:bCs/>
        </w:rPr>
        <w:t xml:space="preserve"> Also, in Docket No. 52411, the Commission granted an untimely motion to reopen the record, so the parties could provide the correct location of the tract of land and thus the correct amount of acreage that should have been released in the streamlined expedited release proceeding.</w:t>
      </w:r>
      <w:r>
        <w:rPr>
          <w:rStyle w:val="FootnoteReference"/>
          <w:bCs/>
        </w:rPr>
        <w:footnoteReference w:id="34"/>
      </w:r>
      <w:r w:rsidR="006750A6">
        <w:rPr>
          <w:bCs/>
        </w:rPr>
        <w:t xml:space="preserve"> Notably, both of these cases demonstrate the Commission’s ability to exercise its power to provide for administrative efficiency.</w:t>
      </w:r>
      <w:r>
        <w:rPr>
          <w:bCs/>
        </w:rPr>
        <w:t xml:space="preserve"> </w:t>
      </w:r>
    </w:p>
    <w:p w14:paraId="76469DE0" w14:textId="0C7CA49C" w:rsidR="006E5DE8" w:rsidRDefault="006E5DE8" w:rsidP="006E5DE8">
      <w:pPr>
        <w:pStyle w:val="Paragraph"/>
        <w:rPr>
          <w:bCs/>
        </w:rPr>
      </w:pPr>
      <w:r>
        <w:rPr>
          <w:bCs/>
        </w:rPr>
        <w:t xml:space="preserve">Similarly, an order granting a motion to reopen the record </w:t>
      </w:r>
      <w:r w:rsidR="00C168A2">
        <w:rPr>
          <w:bCs/>
        </w:rPr>
        <w:t xml:space="preserve">to approve the corrected tariff in a corrected notice of approval </w:t>
      </w:r>
      <w:r>
        <w:rPr>
          <w:bCs/>
        </w:rPr>
        <w:t xml:space="preserve">in this proceeding would provide the Parties and the Commission with an appropriate procedural step </w:t>
      </w:r>
      <w:r w:rsidR="00A94BEB">
        <w:rPr>
          <w:bCs/>
        </w:rPr>
        <w:t xml:space="preserve">that is </w:t>
      </w:r>
      <w:r w:rsidR="00A94BEB">
        <w:t xml:space="preserve">administratively more efficient, practical, and certain </w:t>
      </w:r>
      <w:r>
        <w:rPr>
          <w:bCs/>
        </w:rPr>
        <w:t>to cure the error in Gideon Water’s tariff</w:t>
      </w:r>
      <w:r w:rsidR="00A94BEB">
        <w:rPr>
          <w:bCs/>
        </w:rPr>
        <w:t xml:space="preserve"> in this proceeding rather than in a separate proceeding</w:t>
      </w:r>
      <w:r>
        <w:rPr>
          <w:bCs/>
        </w:rPr>
        <w:t>.</w:t>
      </w:r>
      <w:r w:rsidR="00A94BEB">
        <w:rPr>
          <w:bCs/>
        </w:rPr>
        <w:t xml:space="preserve"> </w:t>
      </w:r>
      <w:r w:rsidR="00A94BEB">
        <w:rPr>
          <w:bCs/>
        </w:rPr>
        <w:lastRenderedPageBreak/>
        <w:t xml:space="preserve">Lastly, </w:t>
      </w:r>
      <w:r w:rsidR="00C04281">
        <w:rPr>
          <w:bCs/>
        </w:rPr>
        <w:t>while the Parties understand the Commission’s need to have finality in its orders</w:t>
      </w:r>
      <w:r w:rsidR="001871AE">
        <w:rPr>
          <w:bCs/>
        </w:rPr>
        <w:t xml:space="preserve">, </w:t>
      </w:r>
      <w:r w:rsidR="00A94BEB">
        <w:rPr>
          <w:bCs/>
        </w:rPr>
        <w:t>the Parties</w:t>
      </w:r>
      <w:r w:rsidR="001871AE">
        <w:rPr>
          <w:bCs/>
        </w:rPr>
        <w:t>, to the extent necessary,</w:t>
      </w:r>
      <w:r w:rsidR="00A94BEB">
        <w:rPr>
          <w:bCs/>
        </w:rPr>
        <w:t xml:space="preserve"> respectfully request that </w:t>
      </w:r>
      <w:r w:rsidR="00A94BEB">
        <w:t xml:space="preserve">the Commission grant a good cause exception to 16 TAC </w:t>
      </w:r>
      <w:r w:rsidR="00A94BEB" w:rsidRPr="00B91D0D">
        <w:t>§</w:t>
      </w:r>
      <w:r w:rsidR="00A94BEB">
        <w:t xml:space="preserve"> 22.35(c)(1) regarding the 15 day deadline by which parties may suggest corrections to a notice of approval.</w:t>
      </w:r>
      <w:r>
        <w:rPr>
          <w:bCs/>
        </w:rPr>
        <w:t xml:space="preserve"> </w:t>
      </w:r>
    </w:p>
    <w:p w14:paraId="2F41D978" w14:textId="77777777" w:rsidR="00833842" w:rsidRDefault="00833842" w:rsidP="006E5DE8">
      <w:pPr>
        <w:pStyle w:val="Paragraph"/>
        <w:rPr>
          <w:bCs/>
        </w:rPr>
      </w:pPr>
    </w:p>
    <w:p w14:paraId="239A8058" w14:textId="0569D4F9" w:rsidR="007C1C19" w:rsidRDefault="007C1C19" w:rsidP="007C1C19">
      <w:pPr>
        <w:pStyle w:val="Heading1"/>
        <w:tabs>
          <w:tab w:val="clear" w:pos="1440"/>
        </w:tabs>
        <w:spacing w:before="0" w:after="0" w:line="360" w:lineRule="auto"/>
        <w:ind w:left="0" w:right="0"/>
      </w:pPr>
      <w:r w:rsidRPr="005E0AD2">
        <w:t>CONCLUSION</w:t>
      </w:r>
    </w:p>
    <w:p w14:paraId="793A7BDE" w14:textId="7962D556" w:rsidR="007C1C19" w:rsidRDefault="006238FF" w:rsidP="005F53BE">
      <w:pPr>
        <w:autoSpaceDE w:val="0"/>
        <w:autoSpaceDN w:val="0"/>
        <w:adjustRightInd w:val="0"/>
        <w:spacing w:after="0"/>
        <w:rPr>
          <w:bCs/>
        </w:rPr>
      </w:pPr>
      <w:r>
        <w:rPr>
          <w:bCs/>
        </w:rPr>
        <w:t>For the reasons detailed above, the Parties respectfully request th</w:t>
      </w:r>
      <w:r w:rsidR="005F53BE">
        <w:rPr>
          <w:bCs/>
        </w:rPr>
        <w:t xml:space="preserve">at the </w:t>
      </w:r>
      <w:r w:rsidR="00CA320D">
        <w:rPr>
          <w:bCs/>
        </w:rPr>
        <w:t xml:space="preserve">Commission grant the Parties’ appeal of Order No. 21, and by extension Order No. 20, and </w:t>
      </w:r>
      <w:r w:rsidR="005F53BE">
        <w:rPr>
          <w:bCs/>
        </w:rPr>
        <w:t xml:space="preserve">issue </w:t>
      </w:r>
      <w:r>
        <w:rPr>
          <w:bCs/>
        </w:rPr>
        <w:t xml:space="preserve">an Order </w:t>
      </w:r>
      <w:r>
        <w:rPr>
          <w:bCs/>
          <w:i/>
          <w:iCs/>
        </w:rPr>
        <w:t>Nunc Pro Tunc</w:t>
      </w:r>
      <w:r w:rsidR="00CA320D">
        <w:rPr>
          <w:bCs/>
        </w:rPr>
        <w:t>. A</w:t>
      </w:r>
      <w:r>
        <w:rPr>
          <w:bCs/>
        </w:rPr>
        <w:t>lternatively</w:t>
      </w:r>
      <w:r w:rsidR="005F53BE">
        <w:rPr>
          <w:bCs/>
        </w:rPr>
        <w:t>,</w:t>
      </w:r>
      <w:r>
        <w:rPr>
          <w:bCs/>
        </w:rPr>
        <w:t xml:space="preserve"> </w:t>
      </w:r>
      <w:r w:rsidR="00CA320D">
        <w:rPr>
          <w:bCs/>
        </w:rPr>
        <w:t xml:space="preserve">the Parties respectfully request that the Commission </w:t>
      </w:r>
      <w:r>
        <w:rPr>
          <w:bCs/>
        </w:rPr>
        <w:t xml:space="preserve">grant </w:t>
      </w:r>
      <w:r w:rsidR="000A11E9">
        <w:rPr>
          <w:bCs/>
        </w:rPr>
        <w:t>the</w:t>
      </w:r>
      <w:r>
        <w:rPr>
          <w:bCs/>
        </w:rPr>
        <w:t xml:space="preserve"> motion to reopen the record to </w:t>
      </w:r>
      <w:r w:rsidR="00B66B8D">
        <w:rPr>
          <w:bCs/>
        </w:rPr>
        <w:t>admit and approve</w:t>
      </w:r>
      <w:r>
        <w:rPr>
          <w:bCs/>
        </w:rPr>
        <w:t xml:space="preserve"> the correct tariff</w:t>
      </w:r>
      <w:r w:rsidR="00CA320D">
        <w:rPr>
          <w:bCs/>
        </w:rPr>
        <w:t>, attached to this appeal,</w:t>
      </w:r>
      <w:r>
        <w:rPr>
          <w:bCs/>
        </w:rPr>
        <w:t xml:space="preserve"> </w:t>
      </w:r>
      <w:r w:rsidR="00CA320D">
        <w:rPr>
          <w:bCs/>
        </w:rPr>
        <w:t xml:space="preserve">in a corrected notice of approval and grant, to the extent necessary, the request for a good cause exception to </w:t>
      </w:r>
      <w:r w:rsidR="00CA320D">
        <w:t xml:space="preserve">16 TAC </w:t>
      </w:r>
      <w:r w:rsidR="00CA320D" w:rsidRPr="00B91D0D">
        <w:t>§</w:t>
      </w:r>
      <w:r w:rsidR="00CA320D">
        <w:t xml:space="preserve"> 22.35(c)(1)</w:t>
      </w:r>
      <w:r w:rsidR="000743B8">
        <w:rPr>
          <w:bCs/>
        </w:rPr>
        <w:t>.</w:t>
      </w:r>
    </w:p>
    <w:p w14:paraId="4C56D6EA" w14:textId="77777777" w:rsidR="006238FF" w:rsidRDefault="006238FF" w:rsidP="007C1C19">
      <w:pPr>
        <w:autoSpaceDE w:val="0"/>
        <w:autoSpaceDN w:val="0"/>
        <w:adjustRightInd w:val="0"/>
        <w:spacing w:after="0"/>
        <w:ind w:firstLine="0"/>
        <w:rPr>
          <w:bCs/>
        </w:rPr>
      </w:pPr>
    </w:p>
    <w:p w14:paraId="53AEF3ED" w14:textId="0784344E" w:rsidR="007C1C19" w:rsidRPr="000612C6" w:rsidRDefault="007C1C19" w:rsidP="007C1C19">
      <w:pPr>
        <w:autoSpaceDE w:val="0"/>
        <w:autoSpaceDN w:val="0"/>
        <w:adjustRightInd w:val="0"/>
        <w:spacing w:after="0"/>
        <w:ind w:firstLine="0"/>
        <w:rPr>
          <w:szCs w:val="20"/>
        </w:rPr>
      </w:pPr>
      <w:r w:rsidRPr="000612C6">
        <w:rPr>
          <w:bCs/>
        </w:rPr>
        <w:t xml:space="preserve">Dated: </w:t>
      </w:r>
      <w:r w:rsidRPr="000612C6">
        <w:rPr>
          <w:bCs/>
        </w:rPr>
        <w:fldChar w:fldCharType="begin"/>
      </w:r>
      <w:r w:rsidRPr="000612C6">
        <w:rPr>
          <w:bCs/>
        </w:rPr>
        <w:instrText xml:space="preserve"> DATE \@ "MMMM d, yyyy" </w:instrText>
      </w:r>
      <w:r w:rsidRPr="000612C6">
        <w:rPr>
          <w:bCs/>
        </w:rPr>
        <w:fldChar w:fldCharType="separate"/>
      </w:r>
      <w:r w:rsidR="006201D7">
        <w:rPr>
          <w:bCs/>
          <w:noProof/>
        </w:rPr>
        <w:t>April 29, 2024</w:t>
      </w:r>
      <w:r w:rsidRPr="000612C6">
        <w:rPr>
          <w:bCs/>
        </w:rPr>
        <w:fldChar w:fldCharType="end"/>
      </w:r>
    </w:p>
    <w:p w14:paraId="79D0A3BC" w14:textId="77777777" w:rsidR="007C1C19" w:rsidRPr="000612C6" w:rsidRDefault="007C1C19" w:rsidP="007C1C19">
      <w:pPr>
        <w:spacing w:after="0"/>
        <w:ind w:firstLine="0"/>
        <w:rPr>
          <w:bCs/>
        </w:rPr>
      </w:pPr>
    </w:p>
    <w:p w14:paraId="54265EED" w14:textId="77777777" w:rsidR="007C1C19" w:rsidRPr="000612C6" w:rsidRDefault="007C1C19" w:rsidP="007C1C19">
      <w:pPr>
        <w:spacing w:after="0" w:line="480" w:lineRule="auto"/>
        <w:ind w:left="3600"/>
      </w:pPr>
      <w:r w:rsidRPr="000612C6">
        <w:t>Respectfully submitted,</w:t>
      </w:r>
    </w:p>
    <w:p w14:paraId="5F149F36" w14:textId="77777777" w:rsidR="007C1C19" w:rsidRPr="000612C6" w:rsidRDefault="007C1C19" w:rsidP="007C1C19">
      <w:pPr>
        <w:spacing w:after="0" w:line="240" w:lineRule="auto"/>
        <w:ind w:left="4320" w:firstLine="0"/>
        <w:contextualSpacing/>
        <w:rPr>
          <w:b/>
        </w:rPr>
      </w:pPr>
      <w:r w:rsidRPr="000612C6">
        <w:rPr>
          <w:b/>
        </w:rPr>
        <w:t xml:space="preserve">PUBLIC UTILITY COMMISSION OF TEXAS </w:t>
      </w:r>
    </w:p>
    <w:p w14:paraId="352CB0C9" w14:textId="77777777" w:rsidR="007C1C19" w:rsidRPr="000612C6" w:rsidRDefault="007C1C19" w:rsidP="007C1C19">
      <w:pPr>
        <w:spacing w:after="0" w:line="240" w:lineRule="auto"/>
        <w:ind w:left="4320" w:firstLine="0"/>
        <w:contextualSpacing/>
        <w:rPr>
          <w:b/>
        </w:rPr>
      </w:pPr>
      <w:r w:rsidRPr="000612C6">
        <w:rPr>
          <w:b/>
        </w:rPr>
        <w:t>LEGAL DIVISION</w:t>
      </w:r>
    </w:p>
    <w:p w14:paraId="0E86E484" w14:textId="77777777" w:rsidR="007C1C19" w:rsidRPr="000612C6" w:rsidRDefault="007C1C19" w:rsidP="007C1C19">
      <w:pPr>
        <w:spacing w:after="0" w:line="240" w:lineRule="auto"/>
        <w:ind w:firstLine="0"/>
        <w:rPr>
          <w:szCs w:val="20"/>
        </w:rPr>
      </w:pPr>
    </w:p>
    <w:p w14:paraId="67F95918" w14:textId="77777777" w:rsidR="007C1C19" w:rsidRPr="000612C6" w:rsidRDefault="00E41EC3" w:rsidP="007C1C19">
      <w:pPr>
        <w:spacing w:after="0" w:line="240" w:lineRule="auto"/>
        <w:ind w:left="4320" w:firstLine="0"/>
        <w:rPr>
          <w:rFonts w:eastAsia="Calibri"/>
          <w:szCs w:val="20"/>
        </w:rPr>
      </w:pPr>
      <w:r>
        <w:rPr>
          <w:rFonts w:eastAsia="Calibri"/>
          <w:szCs w:val="20"/>
        </w:rPr>
        <w:t>Marisa Lopez Wagley</w:t>
      </w:r>
    </w:p>
    <w:p w14:paraId="63DBCFF3" w14:textId="77777777" w:rsidR="007C1C19" w:rsidRPr="000612C6" w:rsidRDefault="007C1C19" w:rsidP="007C1C19">
      <w:pPr>
        <w:spacing w:after="0" w:line="240" w:lineRule="auto"/>
        <w:ind w:firstLine="0"/>
        <w:rPr>
          <w:szCs w:val="20"/>
        </w:rPr>
      </w:pPr>
      <w:r w:rsidRPr="000612C6">
        <w:rPr>
          <w:szCs w:val="20"/>
        </w:rPr>
        <w:tab/>
      </w:r>
      <w:r w:rsidRPr="000612C6">
        <w:rPr>
          <w:szCs w:val="20"/>
        </w:rPr>
        <w:tab/>
      </w:r>
      <w:r w:rsidRPr="000612C6">
        <w:rPr>
          <w:szCs w:val="20"/>
        </w:rPr>
        <w:tab/>
      </w:r>
      <w:r w:rsidRPr="000612C6">
        <w:rPr>
          <w:szCs w:val="20"/>
        </w:rPr>
        <w:tab/>
      </w:r>
      <w:r w:rsidRPr="000612C6">
        <w:rPr>
          <w:szCs w:val="20"/>
        </w:rPr>
        <w:tab/>
      </w:r>
      <w:r w:rsidRPr="000612C6">
        <w:rPr>
          <w:szCs w:val="20"/>
        </w:rPr>
        <w:tab/>
        <w:t xml:space="preserve">Division Director </w:t>
      </w:r>
    </w:p>
    <w:p w14:paraId="02C57C24" w14:textId="6FF141D3" w:rsidR="007C1C19" w:rsidRPr="000612C6" w:rsidRDefault="008453D3" w:rsidP="008453D3">
      <w:pPr>
        <w:tabs>
          <w:tab w:val="left" w:pos="8445"/>
        </w:tabs>
        <w:spacing w:after="0" w:line="240" w:lineRule="auto"/>
        <w:ind w:left="4320" w:firstLine="0"/>
        <w:rPr>
          <w:szCs w:val="20"/>
        </w:rPr>
      </w:pPr>
      <w:r>
        <w:rPr>
          <w:szCs w:val="20"/>
        </w:rPr>
        <w:tab/>
      </w:r>
    </w:p>
    <w:p w14:paraId="6D3822E7" w14:textId="77777777" w:rsidR="007C1C19" w:rsidRPr="000612C6" w:rsidRDefault="00E41EC3" w:rsidP="007C1C19">
      <w:pPr>
        <w:spacing w:after="0" w:line="240" w:lineRule="auto"/>
        <w:ind w:firstLine="4320"/>
        <w:jc w:val="left"/>
      </w:pPr>
      <w:r>
        <w:t>Ian Groetsch</w:t>
      </w:r>
    </w:p>
    <w:p w14:paraId="1D9FF01C" w14:textId="77777777" w:rsidR="007C1C19" w:rsidRPr="000612C6" w:rsidRDefault="007C1C19" w:rsidP="007C1C19">
      <w:pPr>
        <w:spacing w:after="0" w:line="240" w:lineRule="auto"/>
        <w:ind w:firstLine="4320"/>
        <w:jc w:val="left"/>
      </w:pPr>
      <w:r w:rsidRPr="000612C6">
        <w:t>Managing Attorney</w:t>
      </w:r>
    </w:p>
    <w:p w14:paraId="1BCB13DA" w14:textId="77777777" w:rsidR="007C1C19" w:rsidRPr="000612C6" w:rsidRDefault="007C1C19" w:rsidP="007C1C19">
      <w:pPr>
        <w:spacing w:after="0" w:line="240" w:lineRule="auto"/>
        <w:ind w:firstLine="4320"/>
        <w:jc w:val="left"/>
      </w:pPr>
    </w:p>
    <w:p w14:paraId="58C55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p>
    <w:p w14:paraId="25842CD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5AB8D2F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F82945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State Bar No. 24098103</w:t>
      </w:r>
    </w:p>
    <w:p w14:paraId="4F82A1EE"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1701 N. Congress Avenue</w:t>
      </w:r>
    </w:p>
    <w:p w14:paraId="618B01E6"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P.O. Box 13326</w:t>
      </w:r>
    </w:p>
    <w:p w14:paraId="2CD4B79D"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Austin, Texas 78711-3326</w:t>
      </w:r>
    </w:p>
    <w:p w14:paraId="7794BA7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936-7228</w:t>
      </w:r>
    </w:p>
    <w:p w14:paraId="1FC1EBBA"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(512) 936-7268 (facsimile)</w:t>
      </w:r>
    </w:p>
    <w:p w14:paraId="6D7D1483" w14:textId="77777777" w:rsidR="007C1C19" w:rsidRDefault="007C1C19" w:rsidP="007C1C19">
      <w:pPr>
        <w:overflowPunct w:val="0"/>
        <w:autoSpaceDE w:val="0"/>
        <w:autoSpaceDN w:val="0"/>
        <w:adjustRightInd w:val="0"/>
        <w:spacing w:after="0" w:line="240" w:lineRule="auto"/>
        <w:ind w:left="4320" w:firstLine="0"/>
        <w:jc w:val="left"/>
        <w:textAlignment w:val="baseline"/>
      </w:pPr>
      <w:r w:rsidRPr="000612C6">
        <w:t>Scott.Miles@puc.texas.gov</w:t>
      </w:r>
    </w:p>
    <w:p w14:paraId="0FDC6B06" w14:textId="77777777" w:rsidR="002321B4" w:rsidRDefault="002321B4" w:rsidP="002321B4">
      <w:pPr>
        <w:pStyle w:val="Paragraph"/>
      </w:pPr>
    </w:p>
    <w:p w14:paraId="53D4A5AA" w14:textId="77777777" w:rsidR="002321B4" w:rsidRPr="002321B4" w:rsidRDefault="002321B4" w:rsidP="002321B4">
      <w:pPr>
        <w:pStyle w:val="Paragraph"/>
      </w:pPr>
    </w:p>
    <w:p w14:paraId="051BBA28" w14:textId="2A44A61D"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667CC" w:rsidRPr="00EF7381">
        <w:t>Docket</w:t>
      </w:r>
      <w:r w:rsidR="006667CC" w:rsidRPr="00D92C94">
        <w:t xml:space="preserve"> No</w:t>
      </w:r>
      <w:r w:rsidR="006667CC" w:rsidRPr="008647EB">
        <w:t>.</w:t>
      </w:r>
      <w:r w:rsidR="006667CC">
        <w:t xml:space="preserve"> 53485</w:t>
      </w:r>
      <w:r w:rsidR="006667CC" w:rsidRPr="006667CC">
        <w:rPr>
          <w:rStyle w:val="PlaceholderText"/>
        </w:rPr>
        <w:t xml:space="preserve"> </w:t>
      </w:r>
      <w:r w:rsidRPr="007E3A22">
        <w:rPr>
          <w:bCs/>
        </w:rPr>
        <w:fldChar w:fldCharType="end"/>
      </w:r>
    </w:p>
    <w:p w14:paraId="13C132ED" w14:textId="77777777" w:rsidR="007C1C19" w:rsidRPr="008647EB" w:rsidRDefault="007C1C19" w:rsidP="007C1C19">
      <w:pPr>
        <w:pStyle w:val="CaseCaption"/>
        <w:spacing w:after="0" w:line="360" w:lineRule="auto"/>
      </w:pPr>
      <w:r w:rsidRPr="008647EB">
        <w:t>CERTIFICATE OF SERVICE</w:t>
      </w:r>
    </w:p>
    <w:p w14:paraId="75CB6FE2" w14:textId="281DE4A7" w:rsidR="007C1C19" w:rsidRPr="008647EB" w:rsidRDefault="007C1C19" w:rsidP="007C1C19">
      <w:pPr>
        <w:pStyle w:val="Paragraph"/>
        <w:keepNext/>
        <w:keepLines/>
      </w:pPr>
      <w:r w:rsidRPr="00893EAC">
        <w:t>I certify that unless otherwise ordered by the presiding officer, notice of the filing of this document was provided to all parties of record via electronic mail on</w:t>
      </w:r>
      <w:r>
        <w:t xml:space="preserve"> </w:t>
      </w:r>
      <w:r w:rsidR="00C96690" w:rsidRPr="000612C6">
        <w:rPr>
          <w:bCs/>
        </w:rPr>
        <w:fldChar w:fldCharType="begin"/>
      </w:r>
      <w:r w:rsidR="00C96690" w:rsidRPr="000612C6">
        <w:rPr>
          <w:bCs/>
        </w:rPr>
        <w:instrText xml:space="preserve"> DATE \@ "MMMM d, yyyy" </w:instrText>
      </w:r>
      <w:r w:rsidR="00C96690" w:rsidRPr="000612C6">
        <w:rPr>
          <w:bCs/>
        </w:rPr>
        <w:fldChar w:fldCharType="separate"/>
      </w:r>
      <w:r w:rsidR="006201D7">
        <w:rPr>
          <w:bCs/>
          <w:noProof/>
        </w:rPr>
        <w:t>April 29, 2024</w:t>
      </w:r>
      <w:r w:rsidR="00C96690" w:rsidRPr="000612C6">
        <w:rPr>
          <w:bCs/>
        </w:rP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18901D60"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6BC3B17B" w14:textId="77777777" w:rsidR="007C1C19" w:rsidRDefault="007C1C19" w:rsidP="007C1C19">
      <w:pPr>
        <w:overflowPunct w:val="0"/>
        <w:autoSpaceDE w:val="0"/>
        <w:autoSpaceDN w:val="0"/>
        <w:adjustRightInd w:val="0"/>
        <w:spacing w:after="0" w:line="240" w:lineRule="auto"/>
        <w:ind w:left="4320" w:firstLine="0"/>
        <w:jc w:val="left"/>
        <w:textAlignment w:val="baseline"/>
        <w:rPr>
          <w:u w:val="single"/>
        </w:rPr>
      </w:pPr>
    </w:p>
    <w:p w14:paraId="4D7CB212"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rPr>
          <w:u w:val="single"/>
        </w:rPr>
      </w:pPr>
      <w:r w:rsidRPr="000612C6">
        <w:rPr>
          <w:u w:val="single"/>
        </w:rPr>
        <w:t>/s/ Scott Miles</w:t>
      </w:r>
    </w:p>
    <w:p w14:paraId="43C83614" w14:textId="77777777" w:rsidR="007C1C19" w:rsidRPr="000612C6" w:rsidRDefault="007C1C19" w:rsidP="007C1C19">
      <w:pPr>
        <w:overflowPunct w:val="0"/>
        <w:autoSpaceDE w:val="0"/>
        <w:autoSpaceDN w:val="0"/>
        <w:adjustRightInd w:val="0"/>
        <w:spacing w:after="0" w:line="240" w:lineRule="auto"/>
        <w:ind w:left="4320" w:firstLine="0"/>
        <w:jc w:val="left"/>
        <w:textAlignment w:val="baseline"/>
      </w:pPr>
      <w:r w:rsidRPr="000612C6">
        <w:t>Scott Miles</w:t>
      </w:r>
    </w:p>
    <w:p w14:paraId="72CF796D" w14:textId="77777777" w:rsidR="00DA790F" w:rsidRPr="00893EAC" w:rsidRDefault="00DA790F" w:rsidP="007C1C19">
      <w:pPr>
        <w:pStyle w:val="CaseCaption"/>
        <w:rPr>
          <w:szCs w:val="20"/>
          <w:u w:val="single"/>
        </w:rPr>
      </w:pPr>
    </w:p>
    <w:sectPr w:rsidR="00DA790F" w:rsidRPr="00893EAC" w:rsidSect="00844885">
      <w:headerReference w:type="default" r:id="rId8"/>
      <w:footerReference w:type="even" r:id="rId9"/>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38E11" w14:textId="77777777" w:rsidR="00AF1DDD" w:rsidRDefault="00AF1DDD">
      <w:pPr>
        <w:spacing w:after="0" w:line="240" w:lineRule="auto"/>
      </w:pPr>
      <w:r>
        <w:separator/>
      </w:r>
    </w:p>
  </w:endnote>
  <w:endnote w:type="continuationSeparator" w:id="0">
    <w:p w14:paraId="5702F3E8" w14:textId="77777777" w:rsidR="00AF1DDD" w:rsidRDefault="00AF1D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347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CEBA143" w14:textId="77777777" w:rsidR="00071BFA" w:rsidRDefault="00071BFA" w:rsidP="008016FB">
    <w:pPr>
      <w:pStyle w:val="Footer"/>
    </w:pPr>
  </w:p>
  <w:p w14:paraId="169658DD" w14:textId="77777777" w:rsidR="00071BFA" w:rsidRDefault="00071BFA" w:rsidP="008016FB"/>
  <w:p w14:paraId="20DBE1B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8EA1" w14:textId="77777777" w:rsidR="00AF1DDD" w:rsidRDefault="00AF1DDD">
      <w:pPr>
        <w:spacing w:after="0" w:line="240" w:lineRule="auto"/>
      </w:pPr>
      <w:r>
        <w:separator/>
      </w:r>
    </w:p>
  </w:footnote>
  <w:footnote w:type="continuationSeparator" w:id="0">
    <w:p w14:paraId="0C12E3C2" w14:textId="77777777" w:rsidR="00AF1DDD" w:rsidRDefault="00AF1DDD">
      <w:pPr>
        <w:spacing w:after="0" w:line="240" w:lineRule="auto"/>
      </w:pPr>
      <w:r>
        <w:continuationSeparator/>
      </w:r>
    </w:p>
  </w:footnote>
  <w:footnote w:type="continuationNotice" w:id="1">
    <w:p w14:paraId="761E2D46" w14:textId="77777777" w:rsidR="00AF1DDD" w:rsidRDefault="00AF1DDD">
      <w:pPr>
        <w:spacing w:after="0" w:line="240" w:lineRule="auto"/>
      </w:pPr>
    </w:p>
  </w:footnote>
  <w:footnote w:id="2">
    <w:p w14:paraId="0C9016F4" w14:textId="5CA8E8B1" w:rsidR="00B91D0D" w:rsidRDefault="00B91D0D">
      <w:pPr>
        <w:pStyle w:val="FootnoteText"/>
      </w:pPr>
      <w:r>
        <w:rPr>
          <w:rStyle w:val="FootnoteReference"/>
        </w:rPr>
        <w:footnoteRef/>
      </w:r>
      <w:r>
        <w:t xml:space="preserve">  In accordance with 16 TAC </w:t>
      </w:r>
      <w:r w:rsidRPr="00B91D0D">
        <w:t>§</w:t>
      </w:r>
      <w:r>
        <w:t xml:space="preserve"> 22.4(a), because the deadline to appeal Order No. 21 was April 28, 2024, which is a Sunday, the deadline falls to the next day the Commission is open for business. </w:t>
      </w:r>
    </w:p>
  </w:footnote>
  <w:footnote w:id="3">
    <w:p w14:paraId="3A657B06" w14:textId="77777777" w:rsidR="007825AB" w:rsidRDefault="007825AB" w:rsidP="007825AB">
      <w:pPr>
        <w:pStyle w:val="FootnoteText"/>
      </w:pPr>
      <w:r>
        <w:rPr>
          <w:rStyle w:val="FootnoteReference"/>
        </w:rPr>
        <w:footnoteRef/>
      </w:r>
      <w:r>
        <w:t xml:space="preserve">  </w:t>
      </w:r>
      <w:r>
        <w:rPr>
          <w:i/>
          <w:iCs/>
        </w:rPr>
        <w:t>Application of Gideon Water Limited Liability Company for a Minor Tariff Change</w:t>
      </w:r>
      <w:r>
        <w:t xml:space="preserve">, Tariff Control No. 55819 (pending). </w:t>
      </w:r>
    </w:p>
  </w:footnote>
  <w:footnote w:id="4">
    <w:p w14:paraId="622D65F3" w14:textId="77777777" w:rsidR="007825AB" w:rsidRDefault="007825AB" w:rsidP="007825AB">
      <w:pPr>
        <w:pStyle w:val="FootnoteText"/>
      </w:pPr>
      <w:r>
        <w:rPr>
          <w:rStyle w:val="FootnoteReference"/>
        </w:rPr>
        <w:footnoteRef/>
      </w:r>
      <w:r>
        <w:t xml:space="preserve">  </w:t>
      </w:r>
      <w:r w:rsidRPr="002333FD">
        <w:rPr>
          <w:i/>
          <w:iCs/>
        </w:rPr>
        <w:t>Id</w:t>
      </w:r>
      <w:r>
        <w:t xml:space="preserve">., Proposal for Decision with Memorandum (Apr. 22, 2024).   </w:t>
      </w:r>
    </w:p>
  </w:footnote>
  <w:footnote w:id="5">
    <w:p w14:paraId="02AD1424" w14:textId="77777777" w:rsidR="007825AB" w:rsidRPr="00B44DC8" w:rsidRDefault="007825AB" w:rsidP="007825AB">
      <w:pPr>
        <w:pStyle w:val="FootnoteText"/>
      </w:pPr>
      <w:r>
        <w:rPr>
          <w:rStyle w:val="FootnoteReference"/>
        </w:rPr>
        <w:footnoteRef/>
      </w:r>
      <w:r>
        <w:t xml:space="preserve">  </w:t>
      </w:r>
      <w:r>
        <w:rPr>
          <w:i/>
          <w:iCs/>
        </w:rPr>
        <w:t>Id</w:t>
      </w:r>
      <w:r>
        <w:t xml:space="preserve">., Order No. 3 Requiring Commission Staff Comments (Dec. 12, 2023). </w:t>
      </w:r>
    </w:p>
  </w:footnote>
  <w:footnote w:id="6">
    <w:p w14:paraId="165EDB68" w14:textId="77777777" w:rsidR="006E5DE8" w:rsidRDefault="006E5DE8" w:rsidP="006E5DE8">
      <w:pPr>
        <w:pStyle w:val="FootnoteText"/>
      </w:pPr>
      <w:r>
        <w:rPr>
          <w:rStyle w:val="FootnoteReference"/>
        </w:rPr>
        <w:footnoteRef/>
      </w:r>
      <w:r>
        <w:t xml:space="preserve">  </w:t>
      </w:r>
      <w:r>
        <w:rPr>
          <w:i/>
          <w:iCs/>
        </w:rPr>
        <w:t>Application of 3083 Utility LLC for a Convenience and Necessity in Montgomery County</w:t>
      </w:r>
      <w:r>
        <w:t xml:space="preserve">, Docket No. 54273, Order No. 10 Construing Motion for Order </w:t>
      </w:r>
      <w:r>
        <w:rPr>
          <w:i/>
          <w:iCs/>
        </w:rPr>
        <w:t>Nunc Pro Tunc</w:t>
      </w:r>
      <w:r>
        <w:t xml:space="preserve"> as Motion for Rehearing (citing to </w:t>
      </w:r>
      <w:r>
        <w:rPr>
          <w:i/>
          <w:iCs/>
        </w:rPr>
        <w:t>Escobar v. Escobar</w:t>
      </w:r>
      <w:r>
        <w:t xml:space="preserve">, 711 S.W.2d 230, 231 (Tex. 1986)) (Sept. 19, 2023). </w:t>
      </w:r>
    </w:p>
  </w:footnote>
  <w:footnote w:id="7">
    <w:p w14:paraId="5013E093" w14:textId="501D6143" w:rsidR="006E5DE8" w:rsidRDefault="006E5DE8" w:rsidP="006E5DE8">
      <w:pPr>
        <w:pStyle w:val="FootnoteText"/>
      </w:pPr>
      <w:r>
        <w:rPr>
          <w:rStyle w:val="FootnoteReference"/>
        </w:rPr>
        <w:footnoteRef/>
      </w:r>
      <w:r>
        <w:t xml:space="preserve">  </w:t>
      </w:r>
      <w:r>
        <w:rPr>
          <w:i/>
          <w:iCs/>
        </w:rPr>
        <w:t>Andrews v. Koch</w:t>
      </w:r>
      <w:r>
        <w:t xml:space="preserve">, 702 S.W.2d 584, 585-86 (Tex. 1986) (citing to </w:t>
      </w:r>
      <w:r>
        <w:rPr>
          <w:i/>
          <w:iCs/>
        </w:rPr>
        <w:t xml:space="preserve">Petroleum Equip. Fin. Corp. v. First </w:t>
      </w:r>
      <w:proofErr w:type="spellStart"/>
      <w:r>
        <w:rPr>
          <w:i/>
          <w:iCs/>
        </w:rPr>
        <w:t>Nat</w:t>
      </w:r>
      <w:r w:rsidR="00917B4C">
        <w:rPr>
          <w:i/>
          <w:iCs/>
        </w:rPr>
        <w:t>’l</w:t>
      </w:r>
      <w:proofErr w:type="spellEnd"/>
      <w:r>
        <w:rPr>
          <w:i/>
          <w:iCs/>
        </w:rPr>
        <w:t xml:space="preserve"> Bank of Fort Worth</w:t>
      </w:r>
      <w:r w:rsidRPr="00A9549A">
        <w:t>, 622 S.W.2d 152 (Tex.</w:t>
      </w:r>
      <w:r>
        <w:t xml:space="preserve"> </w:t>
      </w:r>
      <w:r w:rsidRPr="00A9549A">
        <w:t>App.</w:t>
      </w:r>
      <w:r>
        <w:t>—Fort Worth 1981, writ ref’d n.r.e.)</w:t>
      </w:r>
      <w:r w:rsidR="00917B4C">
        <w:t>)</w:t>
      </w:r>
      <w:r>
        <w:t>.</w:t>
      </w:r>
    </w:p>
  </w:footnote>
  <w:footnote w:id="8">
    <w:p w14:paraId="259B3F4C" w14:textId="38D6D982" w:rsidR="006E5DE8" w:rsidRPr="00816556" w:rsidRDefault="006E5DE8" w:rsidP="006E5DE8">
      <w:pPr>
        <w:pStyle w:val="FootnoteText"/>
      </w:pPr>
      <w:r>
        <w:rPr>
          <w:rStyle w:val="FootnoteReference"/>
        </w:rPr>
        <w:footnoteRef/>
      </w:r>
      <w:r>
        <w:t xml:space="preserve">  </w:t>
      </w:r>
      <w:r>
        <w:rPr>
          <w:i/>
          <w:iCs/>
        </w:rPr>
        <w:t>Railroad Comm’n v. McClain</w:t>
      </w:r>
      <w:r>
        <w:t xml:space="preserve">, 356 S.W.2d 330, 334 (Tex. App.—Austin 1962, no writ) (citing to </w:t>
      </w:r>
      <w:r>
        <w:rPr>
          <w:i/>
          <w:iCs/>
        </w:rPr>
        <w:t>Frankfort Ky. Nat. Gas Co. v. City of Frankfort</w:t>
      </w:r>
      <w:r>
        <w:t>, 123 S.W.2d 270, 272</w:t>
      </w:r>
      <w:r w:rsidR="00917B4C">
        <w:t xml:space="preserve"> (Ky. Ct. App. 1938</w:t>
      </w:r>
      <w:r>
        <w:t>) (</w:t>
      </w:r>
      <w:r w:rsidRPr="00356206">
        <w:t>emphasis added</w:t>
      </w:r>
      <w:r w:rsidRPr="00E24DE5">
        <w:t>)</w:t>
      </w:r>
      <w:r>
        <w:t xml:space="preserve">. </w:t>
      </w:r>
    </w:p>
  </w:footnote>
  <w:footnote w:id="9">
    <w:p w14:paraId="4FD7FC8F" w14:textId="1229180A" w:rsidR="006E5DE8" w:rsidRDefault="006E5DE8" w:rsidP="006E5DE8">
      <w:pPr>
        <w:pStyle w:val="FootnoteText"/>
      </w:pPr>
      <w:r>
        <w:rPr>
          <w:rStyle w:val="FootnoteReference"/>
        </w:rPr>
        <w:footnoteRef/>
      </w:r>
      <w:r>
        <w:t xml:space="preserve">  Notice of Approval at Findings of Fact Nos. 47-52; </w:t>
      </w:r>
      <w:r>
        <w:rPr>
          <w:i/>
          <w:iCs/>
        </w:rPr>
        <w:t xml:space="preserve">see also </w:t>
      </w:r>
      <w:r>
        <w:t xml:space="preserve">Application at Attachment E (Apr. 12, 2022). </w:t>
      </w:r>
    </w:p>
  </w:footnote>
  <w:footnote w:id="10">
    <w:p w14:paraId="2C00CB66" w14:textId="77777777" w:rsidR="006E5DE8" w:rsidRPr="00AB2166" w:rsidRDefault="006E5DE8" w:rsidP="006E5DE8">
      <w:pPr>
        <w:pStyle w:val="FootnoteText"/>
      </w:pPr>
      <w:r>
        <w:rPr>
          <w:rStyle w:val="FootnoteReference"/>
        </w:rPr>
        <w:footnoteRef/>
      </w:r>
      <w:r>
        <w:t xml:space="preserve">  Notice of Approval at Finding of Fact No. 60; </w:t>
      </w:r>
      <w:r>
        <w:rPr>
          <w:i/>
          <w:iCs/>
        </w:rPr>
        <w:t>see also</w:t>
      </w:r>
      <w:r>
        <w:t xml:space="preserve"> Commission Staff’s Recommendation on Final Disposition at 1 and Memoranda of Jolie Mathis, Infrastructure Division, and Ethan Blanchard, Rate Regulation Division (Mar. 31, 2023).</w:t>
      </w:r>
    </w:p>
  </w:footnote>
  <w:footnote w:id="11">
    <w:p w14:paraId="3587CC8A" w14:textId="77777777" w:rsidR="006E5DE8" w:rsidRPr="00F60694" w:rsidRDefault="006E5DE8" w:rsidP="006E5DE8">
      <w:pPr>
        <w:pStyle w:val="FootnoteText"/>
      </w:pPr>
      <w:r w:rsidRPr="00F60694">
        <w:rPr>
          <w:rStyle w:val="FootnoteReference"/>
        </w:rPr>
        <w:footnoteRef/>
      </w:r>
      <w:r w:rsidRPr="00F60694">
        <w:t xml:space="preserve">  </w:t>
      </w:r>
      <w:r>
        <w:t xml:space="preserve">Notice of Approval at Findings of Fact Nos. 47-55. </w:t>
      </w:r>
    </w:p>
  </w:footnote>
  <w:footnote w:id="12">
    <w:p w14:paraId="35BEA4B9" w14:textId="77777777" w:rsidR="006E5DE8" w:rsidRDefault="006E5DE8" w:rsidP="006E5DE8">
      <w:pPr>
        <w:pStyle w:val="FootnoteText"/>
      </w:pPr>
      <w:r>
        <w:rPr>
          <w:rStyle w:val="FootnoteReference"/>
        </w:rPr>
        <w:footnoteRef/>
      </w:r>
      <w:r>
        <w:t xml:space="preserve">  </w:t>
      </w:r>
      <w:r>
        <w:rPr>
          <w:i/>
          <w:iCs/>
        </w:rPr>
        <w:t>Application of Solar Village Homeowners Association to Obtain a Water Certificate of Convenience and Necessity in Kerr County</w:t>
      </w:r>
      <w:r>
        <w:t xml:space="preserve">, Docket No. 50083, Supplemental Application Information at Attachment 4 (Dec. 17, 2019).  </w:t>
      </w:r>
    </w:p>
  </w:footnote>
  <w:footnote w:id="13">
    <w:p w14:paraId="6DC217D5" w14:textId="77777777" w:rsidR="006E5DE8" w:rsidRDefault="006E5DE8" w:rsidP="006E5DE8">
      <w:pPr>
        <w:pStyle w:val="FootnoteText"/>
      </w:pPr>
      <w:r>
        <w:rPr>
          <w:rStyle w:val="FootnoteReference"/>
        </w:rPr>
        <w:footnoteRef/>
      </w:r>
      <w:r>
        <w:t xml:space="preserve">  </w:t>
      </w:r>
      <w:r>
        <w:rPr>
          <w:i/>
          <w:iCs/>
        </w:rPr>
        <w:t>Id</w:t>
      </w:r>
      <w:r>
        <w:t xml:space="preserve">., Commission Staff’s Final Recommendation at Memorandum of Roshan Pokhrel, Infrastructure Division, and Fred Bednarski, Rate Regulation Division (Jul. 6, 2020) and Notice of Approval at Finding of Fact No. 45 (Oct. 19, 2020). </w:t>
      </w:r>
    </w:p>
  </w:footnote>
  <w:footnote w:id="14">
    <w:p w14:paraId="4A194349" w14:textId="77777777" w:rsidR="006E5DE8" w:rsidRDefault="006E5DE8" w:rsidP="006E5DE8">
      <w:pPr>
        <w:pStyle w:val="FootnoteText"/>
      </w:pPr>
      <w:r>
        <w:rPr>
          <w:rStyle w:val="FootnoteReference"/>
        </w:rPr>
        <w:footnoteRef/>
      </w:r>
      <w:r>
        <w:t xml:space="preserve">  </w:t>
      </w:r>
      <w:r>
        <w:rPr>
          <w:i/>
          <w:iCs/>
        </w:rPr>
        <w:t>Id</w:t>
      </w:r>
      <w:r>
        <w:t xml:space="preserve">., Notice of Approval at Findings of Fact Nos. 42-45. </w:t>
      </w:r>
    </w:p>
  </w:footnote>
  <w:footnote w:id="15">
    <w:p w14:paraId="34F2CFA3" w14:textId="77777777" w:rsidR="00C77BC1" w:rsidRDefault="00C77BC1" w:rsidP="00C77BC1">
      <w:pPr>
        <w:pStyle w:val="FootnoteText"/>
      </w:pPr>
      <w:r>
        <w:rPr>
          <w:rStyle w:val="FootnoteReference"/>
        </w:rPr>
        <w:footnoteRef/>
      </w:r>
      <w:r>
        <w:t xml:space="preserve">  Order No. 20 Denying Motion for Order </w:t>
      </w:r>
      <w:r>
        <w:rPr>
          <w:i/>
          <w:iCs/>
        </w:rPr>
        <w:t>Nunc Pro Tunc</w:t>
      </w:r>
      <w:r>
        <w:t xml:space="preserve"> and Motion to Reopen the Record at 4 (Mar. 26, 2024) (Order No. 20). </w:t>
      </w:r>
    </w:p>
  </w:footnote>
  <w:footnote w:id="16">
    <w:p w14:paraId="62147F5F" w14:textId="11714374" w:rsidR="00C77BC1" w:rsidRDefault="00C77BC1" w:rsidP="00C77BC1">
      <w:pPr>
        <w:pStyle w:val="FootnoteText"/>
      </w:pPr>
      <w:r>
        <w:rPr>
          <w:rStyle w:val="FootnoteReference"/>
        </w:rPr>
        <w:footnoteRef/>
      </w:r>
      <w:r>
        <w:t xml:space="preserve">  Application at 29, Attachment E at 1.  </w:t>
      </w:r>
    </w:p>
  </w:footnote>
  <w:footnote w:id="17">
    <w:p w14:paraId="47675393" w14:textId="77777777" w:rsidR="00C77BC1" w:rsidRDefault="00C77BC1" w:rsidP="00C77BC1">
      <w:pPr>
        <w:pStyle w:val="FootnoteText"/>
      </w:pPr>
      <w:r>
        <w:rPr>
          <w:rStyle w:val="FootnoteReference"/>
        </w:rPr>
        <w:footnoteRef/>
      </w:r>
      <w:r>
        <w:t xml:space="preserve">  Application at 29-45, Attachment E at 1-17 (stating “PUCT 9/1/2014 Water Tariff (Previous TCEQ Form 10330)”). </w:t>
      </w:r>
    </w:p>
  </w:footnote>
  <w:footnote w:id="18">
    <w:p w14:paraId="575E3258" w14:textId="132B892A" w:rsidR="00C77BC1" w:rsidRDefault="00C77BC1" w:rsidP="00C77BC1">
      <w:pPr>
        <w:pStyle w:val="FootnoteText"/>
      </w:pPr>
      <w:r>
        <w:rPr>
          <w:rStyle w:val="FootnoteReference"/>
        </w:rPr>
        <w:footnoteRef/>
      </w:r>
      <w:r>
        <w:t xml:space="preserve">  Notice of Approval at Findings of Fact Nos. 47-49.</w:t>
      </w:r>
    </w:p>
  </w:footnote>
  <w:footnote w:id="19">
    <w:p w14:paraId="53BE4231" w14:textId="77777777" w:rsidR="00C77BC1" w:rsidRDefault="00C77BC1" w:rsidP="00C77BC1">
      <w:pPr>
        <w:pStyle w:val="FootnoteText"/>
      </w:pPr>
      <w:r>
        <w:rPr>
          <w:rStyle w:val="FootnoteReference"/>
        </w:rPr>
        <w:footnoteRef/>
      </w:r>
      <w:r>
        <w:t xml:space="preserve">  Application at 48-52, Attachment F at 2-6. </w:t>
      </w:r>
    </w:p>
  </w:footnote>
  <w:footnote w:id="20">
    <w:p w14:paraId="46371991" w14:textId="77777777" w:rsidR="006E5DE8" w:rsidRDefault="006E5DE8" w:rsidP="006E5DE8">
      <w:pPr>
        <w:pStyle w:val="FootnoteText"/>
      </w:pPr>
      <w:r>
        <w:rPr>
          <w:rStyle w:val="FootnoteReference"/>
        </w:rPr>
        <w:footnoteRef/>
      </w:r>
      <w:r>
        <w:t xml:space="preserve">  Joint Motion to Admit Evidence and Proposed Notice of Approval (Apr. 26, 2023). </w:t>
      </w:r>
    </w:p>
  </w:footnote>
  <w:footnote w:id="21">
    <w:p w14:paraId="4ADCA58B" w14:textId="77777777" w:rsidR="006E5DE8" w:rsidRPr="005F0C5A" w:rsidRDefault="006E5DE8" w:rsidP="006E5DE8">
      <w:pPr>
        <w:pStyle w:val="FootnoteText"/>
      </w:pPr>
      <w:r>
        <w:rPr>
          <w:rStyle w:val="FootnoteReference"/>
        </w:rPr>
        <w:footnoteRef/>
      </w:r>
      <w:r>
        <w:t xml:space="preserve">  </w:t>
      </w:r>
      <w:r>
        <w:rPr>
          <w:i/>
          <w:iCs/>
        </w:rPr>
        <w:t>Gray v. Turner</w:t>
      </w:r>
      <w:r>
        <w:t>, 807 S.W.2d 818, 823 (Tex.App.—Amarillo 1991, no pet.).</w:t>
      </w:r>
    </w:p>
  </w:footnote>
  <w:footnote w:id="22">
    <w:p w14:paraId="0DC7A57C" w14:textId="77777777" w:rsidR="006E5DE8" w:rsidRDefault="006E5DE8" w:rsidP="006E5DE8">
      <w:pPr>
        <w:pStyle w:val="FootnoteText"/>
      </w:pPr>
      <w:r>
        <w:rPr>
          <w:rStyle w:val="FootnoteReference"/>
        </w:rPr>
        <w:footnoteRef/>
      </w:r>
      <w:r>
        <w:t xml:space="preserve">  </w:t>
      </w:r>
      <w:r>
        <w:rPr>
          <w:i/>
          <w:iCs/>
        </w:rPr>
        <w:t>Id</w:t>
      </w:r>
      <w:r>
        <w:t xml:space="preserve">. </w:t>
      </w:r>
    </w:p>
  </w:footnote>
  <w:footnote w:id="23">
    <w:p w14:paraId="0E1B1F2F" w14:textId="21BA1679" w:rsidR="009A012E" w:rsidRPr="001A32E6" w:rsidRDefault="009A012E">
      <w:pPr>
        <w:pStyle w:val="FootnoteText"/>
      </w:pPr>
      <w:r>
        <w:rPr>
          <w:rStyle w:val="FootnoteReference"/>
        </w:rPr>
        <w:footnoteRef/>
      </w:r>
      <w:r>
        <w:t xml:space="preserve">  </w:t>
      </w:r>
      <w:r w:rsidRPr="009A012E">
        <w:rPr>
          <w:i/>
          <w:iCs/>
        </w:rPr>
        <w:t xml:space="preserve">Application </w:t>
      </w:r>
      <w:r>
        <w:rPr>
          <w:i/>
          <w:iCs/>
        </w:rPr>
        <w:t>o</w:t>
      </w:r>
      <w:r w:rsidRPr="009A012E">
        <w:rPr>
          <w:i/>
          <w:iCs/>
        </w:rPr>
        <w:t xml:space="preserve">f Serenity Water </w:t>
      </w:r>
      <w:r>
        <w:rPr>
          <w:i/>
          <w:iCs/>
        </w:rPr>
        <w:t>LLC</w:t>
      </w:r>
      <w:r w:rsidRPr="009A012E">
        <w:rPr>
          <w:i/>
          <w:iCs/>
        </w:rPr>
        <w:t xml:space="preserve"> </w:t>
      </w:r>
      <w:r>
        <w:rPr>
          <w:i/>
          <w:iCs/>
        </w:rPr>
        <w:t>a</w:t>
      </w:r>
      <w:r w:rsidRPr="009A012E">
        <w:rPr>
          <w:i/>
          <w:iCs/>
        </w:rPr>
        <w:t xml:space="preserve">nd 20th Company Assets </w:t>
      </w:r>
      <w:r>
        <w:rPr>
          <w:i/>
          <w:iCs/>
        </w:rPr>
        <w:t>LLC</w:t>
      </w:r>
      <w:r w:rsidRPr="009A012E">
        <w:rPr>
          <w:i/>
          <w:iCs/>
        </w:rPr>
        <w:t xml:space="preserve"> </w:t>
      </w:r>
      <w:r>
        <w:rPr>
          <w:i/>
          <w:iCs/>
        </w:rPr>
        <w:t>d</w:t>
      </w:r>
      <w:r w:rsidRPr="009A012E">
        <w:rPr>
          <w:i/>
          <w:iCs/>
        </w:rPr>
        <w:t>ba Generis Water Works</w:t>
      </w:r>
      <w:r>
        <w:rPr>
          <w:i/>
          <w:iCs/>
        </w:rPr>
        <w:t xml:space="preserve"> </w:t>
      </w:r>
      <w:r w:rsidRPr="009A012E">
        <w:rPr>
          <w:i/>
          <w:iCs/>
        </w:rPr>
        <w:t xml:space="preserve">for Sale, Transfer, </w:t>
      </w:r>
      <w:r>
        <w:rPr>
          <w:i/>
          <w:iCs/>
        </w:rPr>
        <w:t>o</w:t>
      </w:r>
      <w:r w:rsidRPr="009A012E">
        <w:rPr>
          <w:i/>
          <w:iCs/>
        </w:rPr>
        <w:t xml:space="preserve">r Merger </w:t>
      </w:r>
      <w:r>
        <w:rPr>
          <w:i/>
          <w:iCs/>
        </w:rPr>
        <w:t>o</w:t>
      </w:r>
      <w:r w:rsidRPr="009A012E">
        <w:rPr>
          <w:i/>
          <w:iCs/>
        </w:rPr>
        <w:t xml:space="preserve">f Facilities </w:t>
      </w:r>
      <w:r>
        <w:rPr>
          <w:i/>
          <w:iCs/>
        </w:rPr>
        <w:t>a</w:t>
      </w:r>
      <w:r w:rsidRPr="009A012E">
        <w:rPr>
          <w:i/>
          <w:iCs/>
        </w:rPr>
        <w:t xml:space="preserve">nd Certificate Rights </w:t>
      </w:r>
      <w:r>
        <w:rPr>
          <w:i/>
          <w:iCs/>
        </w:rPr>
        <w:t>i</w:t>
      </w:r>
      <w:r w:rsidRPr="009A012E">
        <w:rPr>
          <w:i/>
          <w:iCs/>
        </w:rPr>
        <w:t>n Kerr County</w:t>
      </w:r>
      <w:r w:rsidR="001A32E6">
        <w:t>, Docket No. 53463</w:t>
      </w:r>
      <w:r w:rsidR="009B429A">
        <w:t>, Joint Motion for Rehearing (Dec. 20, 2023) and Corrected Notice of Approval (Dec. 21, 2023).</w:t>
      </w:r>
    </w:p>
  </w:footnote>
  <w:footnote w:id="24">
    <w:p w14:paraId="734D212A" w14:textId="4B211F1F" w:rsidR="003F0205" w:rsidRDefault="003F0205">
      <w:pPr>
        <w:pStyle w:val="FootnoteText"/>
      </w:pPr>
      <w:r>
        <w:rPr>
          <w:rStyle w:val="FootnoteReference"/>
        </w:rPr>
        <w:footnoteRef/>
      </w:r>
      <w:r>
        <w:t xml:space="preserve">  </w:t>
      </w:r>
      <w:r>
        <w:rPr>
          <w:i/>
          <w:iCs/>
        </w:rPr>
        <w:t>Application of SJWTX, Inc. dba The Texas Water Company for System Improvement Charges</w:t>
      </w:r>
      <w:r>
        <w:t xml:space="preserve">, Docket No. 54430, Order No. 19 Requiring Clarification (Jan. 29, 2024). </w:t>
      </w:r>
    </w:p>
  </w:footnote>
  <w:footnote w:id="25">
    <w:p w14:paraId="3F242D4F" w14:textId="77777777" w:rsidR="006E5DE8" w:rsidRDefault="006E5DE8" w:rsidP="006E5DE8">
      <w:pPr>
        <w:pStyle w:val="FootnoteText"/>
      </w:pPr>
      <w:r>
        <w:rPr>
          <w:rStyle w:val="FootnoteReference"/>
        </w:rPr>
        <w:footnoteRef/>
      </w:r>
      <w:r>
        <w:t xml:space="preserve">  </w:t>
      </w:r>
      <w:r>
        <w:rPr>
          <w:i/>
          <w:iCs/>
        </w:rPr>
        <w:t>Thomas &amp; Lewin Associates, Inc. v. Tex. Health and Human Service Comm’n</w:t>
      </w:r>
      <w:r>
        <w:t xml:space="preserve">, 2019 WL 2384130 at *5 (Tex.App.—Austin 2019). </w:t>
      </w:r>
    </w:p>
  </w:footnote>
  <w:footnote w:id="26">
    <w:p w14:paraId="69EB106E" w14:textId="77777777" w:rsidR="006E5DE8" w:rsidRPr="001B600B" w:rsidRDefault="006E5DE8" w:rsidP="006E5DE8">
      <w:pPr>
        <w:pStyle w:val="FootnoteText"/>
      </w:pPr>
      <w:r>
        <w:rPr>
          <w:rStyle w:val="FootnoteReference"/>
        </w:rPr>
        <w:footnoteRef/>
      </w:r>
      <w:r>
        <w:t xml:space="preserve">  </w:t>
      </w:r>
      <w:r>
        <w:rPr>
          <w:i/>
          <w:iCs/>
        </w:rPr>
        <w:t>Andrews</w:t>
      </w:r>
      <w:r>
        <w:t>, 702 S.W.2d at 586.</w:t>
      </w:r>
    </w:p>
  </w:footnote>
  <w:footnote w:id="27">
    <w:p w14:paraId="699AC666" w14:textId="77777777" w:rsidR="00C77BC1" w:rsidRDefault="00C77BC1" w:rsidP="00C77BC1">
      <w:pPr>
        <w:pStyle w:val="FootnoteText"/>
      </w:pPr>
      <w:r>
        <w:rPr>
          <w:rStyle w:val="FootnoteReference"/>
        </w:rPr>
        <w:footnoteRef/>
      </w:r>
      <w:r>
        <w:t xml:space="preserve">  Order No. 20 at 5. </w:t>
      </w:r>
    </w:p>
  </w:footnote>
  <w:footnote w:id="28">
    <w:p w14:paraId="71BA1756" w14:textId="4D8C0329" w:rsidR="00C77BC1" w:rsidRDefault="00C77BC1" w:rsidP="00C77BC1">
      <w:pPr>
        <w:pStyle w:val="FootnoteText"/>
      </w:pPr>
      <w:r>
        <w:rPr>
          <w:rStyle w:val="FootnoteReference"/>
        </w:rPr>
        <w:footnoteRef/>
      </w:r>
      <w:r>
        <w:t xml:space="preserve">  </w:t>
      </w:r>
      <w:r w:rsidR="001122BC">
        <w:rPr>
          <w:i/>
          <w:iCs/>
        </w:rPr>
        <w:t xml:space="preserve">e.g. </w:t>
      </w:r>
      <w:r>
        <w:t>Gideon Water’s application and attached tariff and proposed rates</w:t>
      </w:r>
      <w:r w:rsidR="001122BC">
        <w:t xml:space="preserve"> and </w:t>
      </w:r>
      <w:r>
        <w:t>Staff’s final recommendation and attached expert memorand</w:t>
      </w:r>
      <w:r w:rsidR="00560DC4">
        <w:t>a</w:t>
      </w:r>
      <w:r w:rsidR="001122BC">
        <w:t xml:space="preserve">, which resulted in </w:t>
      </w:r>
      <w:r>
        <w:t>the findings of fact included in the Notice of Approval, recognizing that Staff did not make any changes to Gideon Water’s proposed rates</w:t>
      </w:r>
      <w:r w:rsidR="001122BC">
        <w:t xml:space="preserve"> and that such proposed rates did not contemplate any </w:t>
      </w:r>
      <w:r w:rsidR="00DA1254">
        <w:t xml:space="preserve">unspecified </w:t>
      </w:r>
      <w:r w:rsidR="001122BC">
        <w:t xml:space="preserve">nonzero gallonage amount for the monthly minimum </w:t>
      </w:r>
      <w:r w:rsidR="00DA1254">
        <w:t>charge</w:t>
      </w:r>
      <w:r w:rsidR="001122BC">
        <w:t>.</w:t>
      </w:r>
      <w:r>
        <w:t xml:space="preserve"> </w:t>
      </w:r>
    </w:p>
  </w:footnote>
  <w:footnote w:id="29">
    <w:p w14:paraId="4BE4525C" w14:textId="77777777" w:rsidR="001A32E6" w:rsidRDefault="001A32E6" w:rsidP="001A32E6">
      <w:pPr>
        <w:pStyle w:val="FootnoteText"/>
      </w:pPr>
      <w:r>
        <w:rPr>
          <w:rStyle w:val="FootnoteReference"/>
        </w:rPr>
        <w:footnoteRef/>
      </w:r>
      <w:r>
        <w:t xml:space="preserve">  </w:t>
      </w:r>
      <w:r w:rsidRPr="00AA09BD">
        <w:rPr>
          <w:i/>
          <w:iCs/>
        </w:rPr>
        <w:t>Gray</w:t>
      </w:r>
      <w:r>
        <w:t xml:space="preserve">, 807 S.W.2d at 823 (citing to </w:t>
      </w:r>
      <w:r w:rsidRPr="00AA09BD">
        <w:rPr>
          <w:i/>
          <w:iCs/>
        </w:rPr>
        <w:t>Andrews</w:t>
      </w:r>
      <w:r>
        <w:t xml:space="preserve">, 702 S.W.2d at 586). </w:t>
      </w:r>
    </w:p>
  </w:footnote>
  <w:footnote w:id="30">
    <w:p w14:paraId="79E238E7" w14:textId="236CF1F9" w:rsidR="006E5DE8" w:rsidRPr="002B36D2" w:rsidRDefault="006E5DE8" w:rsidP="006E5DE8">
      <w:pPr>
        <w:pStyle w:val="FootnoteText"/>
      </w:pPr>
      <w:r>
        <w:rPr>
          <w:rStyle w:val="FootnoteReference"/>
        </w:rPr>
        <w:footnoteRef/>
      </w:r>
      <w:r>
        <w:t xml:space="preserve">  </w:t>
      </w:r>
      <w:r w:rsidR="00B834D6">
        <w:rPr>
          <w:i/>
          <w:iCs/>
        </w:rPr>
        <w:t>Id</w:t>
      </w:r>
      <w:r w:rsidR="00B834D6">
        <w:t>.</w:t>
      </w:r>
      <w:r>
        <w:t xml:space="preserve"> (citing to </w:t>
      </w:r>
      <w:r>
        <w:rPr>
          <w:i/>
          <w:iCs/>
        </w:rPr>
        <w:t>Dikeman v. Snell</w:t>
      </w:r>
      <w:r>
        <w:t xml:space="preserve">, 490 S.W.2d 183 (Tex. 1973) and </w:t>
      </w:r>
      <w:r>
        <w:rPr>
          <w:i/>
          <w:iCs/>
        </w:rPr>
        <w:t>Seago v. Bell</w:t>
      </w:r>
      <w:r>
        <w:t xml:space="preserve">, 764 S.W.2d 362 (Tex.App.—Beaumont 1989, </w:t>
      </w:r>
      <w:r>
        <w:rPr>
          <w:i/>
          <w:iCs/>
        </w:rPr>
        <w:t>no writ</w:t>
      </w:r>
      <w:r>
        <w:t>)</w:t>
      </w:r>
      <w:r w:rsidR="00B834D6">
        <w:t>)</w:t>
      </w:r>
      <w:r>
        <w:t>.</w:t>
      </w:r>
    </w:p>
  </w:footnote>
  <w:footnote w:id="31">
    <w:p w14:paraId="76ADFA2A" w14:textId="77777777" w:rsidR="006E5DE8" w:rsidRPr="00816556" w:rsidRDefault="006E5DE8" w:rsidP="006E5DE8">
      <w:pPr>
        <w:pStyle w:val="FootnoteText"/>
      </w:pPr>
      <w:r>
        <w:rPr>
          <w:rStyle w:val="FootnoteReference"/>
        </w:rPr>
        <w:footnoteRef/>
      </w:r>
      <w:r>
        <w:t xml:space="preserve">  </w:t>
      </w:r>
      <w:r>
        <w:rPr>
          <w:i/>
          <w:iCs/>
        </w:rPr>
        <w:t>McClain</w:t>
      </w:r>
      <w:r>
        <w:t xml:space="preserve">, 353 S.W.2d at 334. </w:t>
      </w:r>
    </w:p>
  </w:footnote>
  <w:footnote w:id="32">
    <w:p w14:paraId="0E238FA4" w14:textId="77777777" w:rsidR="006E5DE8" w:rsidRDefault="006E5DE8" w:rsidP="006E5DE8">
      <w:pPr>
        <w:pStyle w:val="FootnoteText"/>
      </w:pPr>
      <w:r>
        <w:rPr>
          <w:rStyle w:val="FootnoteReference"/>
        </w:rPr>
        <w:footnoteRef/>
      </w:r>
      <w:r>
        <w:t xml:space="preserve">  </w:t>
      </w:r>
      <w:r w:rsidRPr="00FA00B4">
        <w:rPr>
          <w:i/>
          <w:iCs/>
        </w:rPr>
        <w:t>Application of Beachview Acres Water Association and Hilco United Services, Inc. dba Hilco H20 for Sale, Transfer, or Merger of Facilities and Certificate Rights in Hill County</w:t>
      </w:r>
      <w:r>
        <w:t xml:space="preserve">, Docket No. 51549, Order No. 13-Reopening Record and Admitting Additional Evidence (Jun. 8, 2022).       </w:t>
      </w:r>
    </w:p>
  </w:footnote>
  <w:footnote w:id="33">
    <w:p w14:paraId="054A4466" w14:textId="77777777" w:rsidR="006E5DE8" w:rsidRDefault="006E5DE8" w:rsidP="006E5DE8">
      <w:pPr>
        <w:pStyle w:val="FootnoteText"/>
      </w:pPr>
      <w:r>
        <w:rPr>
          <w:rStyle w:val="FootnoteReference"/>
        </w:rPr>
        <w:footnoteRef/>
      </w:r>
      <w:r>
        <w:t xml:space="preserve">  </w:t>
      </w:r>
      <w:r>
        <w:rPr>
          <w:i/>
          <w:iCs/>
        </w:rPr>
        <w:t>Id</w:t>
      </w:r>
      <w:r>
        <w:t xml:space="preserve">., Motion to Reopen Record and Admit Tariff as Additional Evidence (Jun. 7, 2022). </w:t>
      </w:r>
    </w:p>
  </w:footnote>
  <w:footnote w:id="34">
    <w:p w14:paraId="0D2EAAEA" w14:textId="77777777" w:rsidR="006E5DE8" w:rsidRDefault="006E5DE8" w:rsidP="006E5DE8">
      <w:pPr>
        <w:pStyle w:val="FootnoteText"/>
      </w:pPr>
      <w:r>
        <w:rPr>
          <w:rStyle w:val="FootnoteReference"/>
        </w:rPr>
        <w:footnoteRef/>
      </w:r>
      <w:r>
        <w:t xml:space="preserve">  </w:t>
      </w:r>
      <w:r w:rsidRPr="00860754">
        <w:rPr>
          <w:i/>
          <w:iCs/>
        </w:rPr>
        <w:t xml:space="preserve">Petition </w:t>
      </w:r>
      <w:r>
        <w:rPr>
          <w:i/>
          <w:iCs/>
        </w:rPr>
        <w:t>o</w:t>
      </w:r>
      <w:r w:rsidRPr="00860754">
        <w:rPr>
          <w:i/>
          <w:iCs/>
        </w:rPr>
        <w:t>f H</w:t>
      </w:r>
      <w:r>
        <w:rPr>
          <w:i/>
          <w:iCs/>
        </w:rPr>
        <w:t>MI</w:t>
      </w:r>
      <w:r w:rsidRPr="00860754">
        <w:rPr>
          <w:i/>
          <w:iCs/>
        </w:rPr>
        <w:t>-Oak Grove L</w:t>
      </w:r>
      <w:r>
        <w:rPr>
          <w:i/>
          <w:iCs/>
        </w:rPr>
        <w:t>LC</w:t>
      </w:r>
      <w:r w:rsidRPr="00860754">
        <w:rPr>
          <w:i/>
          <w:iCs/>
        </w:rPr>
        <w:t xml:space="preserve"> </w:t>
      </w:r>
      <w:r>
        <w:rPr>
          <w:i/>
          <w:iCs/>
        </w:rPr>
        <w:t>t</w:t>
      </w:r>
      <w:r w:rsidRPr="00860754">
        <w:rPr>
          <w:i/>
          <w:iCs/>
        </w:rPr>
        <w:t xml:space="preserve">o Amend Bethesda Water Supply Corporation's Certificate </w:t>
      </w:r>
      <w:r>
        <w:rPr>
          <w:i/>
          <w:iCs/>
        </w:rPr>
        <w:t>o</w:t>
      </w:r>
      <w:r w:rsidRPr="00860754">
        <w:rPr>
          <w:i/>
          <w:iCs/>
        </w:rPr>
        <w:t xml:space="preserve">f Convenience </w:t>
      </w:r>
      <w:r>
        <w:rPr>
          <w:i/>
          <w:iCs/>
        </w:rPr>
        <w:t>a</w:t>
      </w:r>
      <w:r w:rsidRPr="00860754">
        <w:rPr>
          <w:i/>
          <w:iCs/>
        </w:rPr>
        <w:t xml:space="preserve">nd Necessity </w:t>
      </w:r>
      <w:r>
        <w:rPr>
          <w:i/>
          <w:iCs/>
        </w:rPr>
        <w:t>i</w:t>
      </w:r>
      <w:r w:rsidRPr="00860754">
        <w:rPr>
          <w:i/>
          <w:iCs/>
        </w:rPr>
        <w:t xml:space="preserve">n Tarrant County </w:t>
      </w:r>
      <w:r>
        <w:rPr>
          <w:i/>
          <w:iCs/>
        </w:rPr>
        <w:t>b</w:t>
      </w:r>
      <w:r w:rsidRPr="00860754">
        <w:rPr>
          <w:i/>
          <w:iCs/>
        </w:rPr>
        <w:t>y Expedited Release</w:t>
      </w:r>
      <w:r>
        <w:t xml:space="preserve">, Docket No. 52411, Order No. 10 Granting Motion to Reopen Record and Rescinding Order Nos. 4 and 6 and Notice of Approval </w:t>
      </w:r>
      <w:proofErr w:type="gramStart"/>
      <w:r>
        <w:t>Making a Determination</w:t>
      </w:r>
      <w:proofErr w:type="gramEnd"/>
      <w:r>
        <w:t xml:space="preserve"> on Compensation (Oct. 18,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5B06D"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439447224">
    <w:abstractNumId w:val="10"/>
  </w:num>
  <w:num w:numId="2" w16cid:durableId="1886218125">
    <w:abstractNumId w:val="24"/>
  </w:num>
  <w:num w:numId="3" w16cid:durableId="1447575890">
    <w:abstractNumId w:val="15"/>
  </w:num>
  <w:num w:numId="4" w16cid:durableId="1082751928">
    <w:abstractNumId w:val="12"/>
  </w:num>
  <w:num w:numId="5" w16cid:durableId="442189172">
    <w:abstractNumId w:val="23"/>
  </w:num>
  <w:num w:numId="6" w16cid:durableId="1410469602">
    <w:abstractNumId w:val="22"/>
  </w:num>
  <w:num w:numId="7" w16cid:durableId="1431461881">
    <w:abstractNumId w:val="16"/>
  </w:num>
  <w:num w:numId="8" w16cid:durableId="269287610">
    <w:abstractNumId w:val="17"/>
  </w:num>
  <w:num w:numId="9" w16cid:durableId="5713519">
    <w:abstractNumId w:val="20"/>
  </w:num>
  <w:num w:numId="10" w16cid:durableId="1029530196">
    <w:abstractNumId w:val="21"/>
  </w:num>
  <w:num w:numId="11" w16cid:durableId="618798251">
    <w:abstractNumId w:val="13"/>
  </w:num>
  <w:num w:numId="12" w16cid:durableId="1248811654">
    <w:abstractNumId w:val="19"/>
  </w:num>
  <w:num w:numId="13" w16cid:durableId="168179347">
    <w:abstractNumId w:val="9"/>
  </w:num>
  <w:num w:numId="14" w16cid:durableId="925501630">
    <w:abstractNumId w:val="7"/>
  </w:num>
  <w:num w:numId="15" w16cid:durableId="2130200326">
    <w:abstractNumId w:val="6"/>
  </w:num>
  <w:num w:numId="16" w16cid:durableId="919174196">
    <w:abstractNumId w:val="5"/>
  </w:num>
  <w:num w:numId="17" w16cid:durableId="1182745321">
    <w:abstractNumId w:val="4"/>
  </w:num>
  <w:num w:numId="18" w16cid:durableId="1873810795">
    <w:abstractNumId w:val="8"/>
  </w:num>
  <w:num w:numId="19" w16cid:durableId="808984980">
    <w:abstractNumId w:val="3"/>
  </w:num>
  <w:num w:numId="20" w16cid:durableId="51277286">
    <w:abstractNumId w:val="2"/>
  </w:num>
  <w:num w:numId="21" w16cid:durableId="1420785011">
    <w:abstractNumId w:val="1"/>
  </w:num>
  <w:num w:numId="22" w16cid:durableId="967587380">
    <w:abstractNumId w:val="0"/>
  </w:num>
  <w:num w:numId="23" w16cid:durableId="1989360705">
    <w:abstractNumId w:val="11"/>
  </w:num>
  <w:num w:numId="24" w16cid:durableId="1791708925">
    <w:abstractNumId w:val="14"/>
  </w:num>
  <w:num w:numId="25" w16cid:durableId="17588212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64B"/>
    <w:rsid w:val="000008E2"/>
    <w:rsid w:val="0000107F"/>
    <w:rsid w:val="000038EE"/>
    <w:rsid w:val="00003FE4"/>
    <w:rsid w:val="00006869"/>
    <w:rsid w:val="00010C7C"/>
    <w:rsid w:val="00011A9B"/>
    <w:rsid w:val="000134BB"/>
    <w:rsid w:val="00014359"/>
    <w:rsid w:val="00014833"/>
    <w:rsid w:val="00015160"/>
    <w:rsid w:val="00015C32"/>
    <w:rsid w:val="00016F1F"/>
    <w:rsid w:val="00022FA6"/>
    <w:rsid w:val="000233F8"/>
    <w:rsid w:val="000274E7"/>
    <w:rsid w:val="000301A9"/>
    <w:rsid w:val="00030E0B"/>
    <w:rsid w:val="00033EBF"/>
    <w:rsid w:val="000357D5"/>
    <w:rsid w:val="00035DE9"/>
    <w:rsid w:val="000406D7"/>
    <w:rsid w:val="00041B32"/>
    <w:rsid w:val="00041F8A"/>
    <w:rsid w:val="000434C0"/>
    <w:rsid w:val="0004658F"/>
    <w:rsid w:val="00047A27"/>
    <w:rsid w:val="00050EC3"/>
    <w:rsid w:val="00051630"/>
    <w:rsid w:val="00054407"/>
    <w:rsid w:val="00057135"/>
    <w:rsid w:val="000577AB"/>
    <w:rsid w:val="00061E7A"/>
    <w:rsid w:val="000621BB"/>
    <w:rsid w:val="0006297B"/>
    <w:rsid w:val="00063014"/>
    <w:rsid w:val="00064A66"/>
    <w:rsid w:val="0006743A"/>
    <w:rsid w:val="00071BFA"/>
    <w:rsid w:val="000722C0"/>
    <w:rsid w:val="00072FE5"/>
    <w:rsid w:val="00073322"/>
    <w:rsid w:val="000743B8"/>
    <w:rsid w:val="00074832"/>
    <w:rsid w:val="000767DB"/>
    <w:rsid w:val="00077EC5"/>
    <w:rsid w:val="000804B7"/>
    <w:rsid w:val="0008265B"/>
    <w:rsid w:val="00082793"/>
    <w:rsid w:val="000857EC"/>
    <w:rsid w:val="00086CE5"/>
    <w:rsid w:val="00092039"/>
    <w:rsid w:val="00092070"/>
    <w:rsid w:val="00092B02"/>
    <w:rsid w:val="0009361B"/>
    <w:rsid w:val="0009426E"/>
    <w:rsid w:val="00094D6D"/>
    <w:rsid w:val="00097407"/>
    <w:rsid w:val="000A11E9"/>
    <w:rsid w:val="000A15D8"/>
    <w:rsid w:val="000A1743"/>
    <w:rsid w:val="000B04D8"/>
    <w:rsid w:val="000B10C9"/>
    <w:rsid w:val="000B163B"/>
    <w:rsid w:val="000B1812"/>
    <w:rsid w:val="000B18EF"/>
    <w:rsid w:val="000B5BCF"/>
    <w:rsid w:val="000B5F1B"/>
    <w:rsid w:val="000C29F8"/>
    <w:rsid w:val="000C32B4"/>
    <w:rsid w:val="000C4031"/>
    <w:rsid w:val="000C6535"/>
    <w:rsid w:val="000C6A4A"/>
    <w:rsid w:val="000C6AF9"/>
    <w:rsid w:val="000D3CDD"/>
    <w:rsid w:val="000D3DDB"/>
    <w:rsid w:val="000D4AA2"/>
    <w:rsid w:val="000D54AD"/>
    <w:rsid w:val="000D5F63"/>
    <w:rsid w:val="000E26FE"/>
    <w:rsid w:val="000E6961"/>
    <w:rsid w:val="000F0183"/>
    <w:rsid w:val="000F1B5D"/>
    <w:rsid w:val="000F1F40"/>
    <w:rsid w:val="000F2CCD"/>
    <w:rsid w:val="000F6BEB"/>
    <w:rsid w:val="000F7F9C"/>
    <w:rsid w:val="00100E47"/>
    <w:rsid w:val="00101DD7"/>
    <w:rsid w:val="00101E9A"/>
    <w:rsid w:val="0010359F"/>
    <w:rsid w:val="00104BD4"/>
    <w:rsid w:val="001067EE"/>
    <w:rsid w:val="00106A78"/>
    <w:rsid w:val="00106C86"/>
    <w:rsid w:val="00110861"/>
    <w:rsid w:val="0011215F"/>
    <w:rsid w:val="001122BC"/>
    <w:rsid w:val="001171A2"/>
    <w:rsid w:val="00121F46"/>
    <w:rsid w:val="00122A95"/>
    <w:rsid w:val="00122C66"/>
    <w:rsid w:val="001248E8"/>
    <w:rsid w:val="00124FEB"/>
    <w:rsid w:val="00125007"/>
    <w:rsid w:val="00125C6D"/>
    <w:rsid w:val="00127224"/>
    <w:rsid w:val="001276F3"/>
    <w:rsid w:val="00132937"/>
    <w:rsid w:val="00132C88"/>
    <w:rsid w:val="0013403B"/>
    <w:rsid w:val="001347B7"/>
    <w:rsid w:val="001370E3"/>
    <w:rsid w:val="00140FCF"/>
    <w:rsid w:val="00143BAC"/>
    <w:rsid w:val="00143DBB"/>
    <w:rsid w:val="001449F7"/>
    <w:rsid w:val="00145A50"/>
    <w:rsid w:val="00145A64"/>
    <w:rsid w:val="00147053"/>
    <w:rsid w:val="001478CB"/>
    <w:rsid w:val="001504CC"/>
    <w:rsid w:val="00151008"/>
    <w:rsid w:val="00151409"/>
    <w:rsid w:val="001515C8"/>
    <w:rsid w:val="0015225A"/>
    <w:rsid w:val="00152E43"/>
    <w:rsid w:val="00154618"/>
    <w:rsid w:val="001569A7"/>
    <w:rsid w:val="00160B90"/>
    <w:rsid w:val="00161D34"/>
    <w:rsid w:val="00162210"/>
    <w:rsid w:val="0016347D"/>
    <w:rsid w:val="00163756"/>
    <w:rsid w:val="00163EA2"/>
    <w:rsid w:val="00166DA4"/>
    <w:rsid w:val="00166EF5"/>
    <w:rsid w:val="0016707F"/>
    <w:rsid w:val="001674A8"/>
    <w:rsid w:val="00167865"/>
    <w:rsid w:val="00167B9A"/>
    <w:rsid w:val="00170C23"/>
    <w:rsid w:val="00170CA0"/>
    <w:rsid w:val="001711C0"/>
    <w:rsid w:val="0017204A"/>
    <w:rsid w:val="00172793"/>
    <w:rsid w:val="00175194"/>
    <w:rsid w:val="001754DD"/>
    <w:rsid w:val="00176754"/>
    <w:rsid w:val="00176BF1"/>
    <w:rsid w:val="00176D68"/>
    <w:rsid w:val="001871AE"/>
    <w:rsid w:val="001871BC"/>
    <w:rsid w:val="00191CC3"/>
    <w:rsid w:val="00192691"/>
    <w:rsid w:val="00194DC4"/>
    <w:rsid w:val="00195608"/>
    <w:rsid w:val="0019726B"/>
    <w:rsid w:val="00197531"/>
    <w:rsid w:val="001A0AE2"/>
    <w:rsid w:val="001A2D16"/>
    <w:rsid w:val="001A32E6"/>
    <w:rsid w:val="001A4E3E"/>
    <w:rsid w:val="001A51AA"/>
    <w:rsid w:val="001A5D0B"/>
    <w:rsid w:val="001A6E57"/>
    <w:rsid w:val="001A7BD4"/>
    <w:rsid w:val="001A7DBE"/>
    <w:rsid w:val="001B0D9A"/>
    <w:rsid w:val="001B175B"/>
    <w:rsid w:val="001B1A66"/>
    <w:rsid w:val="001B46BA"/>
    <w:rsid w:val="001B4D69"/>
    <w:rsid w:val="001B52FD"/>
    <w:rsid w:val="001B58ED"/>
    <w:rsid w:val="001B600B"/>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1A5"/>
    <w:rsid w:val="001F356A"/>
    <w:rsid w:val="001F3EDB"/>
    <w:rsid w:val="001F444B"/>
    <w:rsid w:val="001F47C0"/>
    <w:rsid w:val="001F4AC5"/>
    <w:rsid w:val="001F5FDD"/>
    <w:rsid w:val="001F7450"/>
    <w:rsid w:val="00200659"/>
    <w:rsid w:val="00201516"/>
    <w:rsid w:val="0020243D"/>
    <w:rsid w:val="0020396D"/>
    <w:rsid w:val="00204274"/>
    <w:rsid w:val="002046FE"/>
    <w:rsid w:val="0020471E"/>
    <w:rsid w:val="0020473E"/>
    <w:rsid w:val="002053CD"/>
    <w:rsid w:val="00206549"/>
    <w:rsid w:val="0020799A"/>
    <w:rsid w:val="00212ED1"/>
    <w:rsid w:val="00214C34"/>
    <w:rsid w:val="0021567A"/>
    <w:rsid w:val="0021672E"/>
    <w:rsid w:val="00217977"/>
    <w:rsid w:val="00220BAA"/>
    <w:rsid w:val="00220D4D"/>
    <w:rsid w:val="0022173D"/>
    <w:rsid w:val="0022222B"/>
    <w:rsid w:val="002241EF"/>
    <w:rsid w:val="002254E2"/>
    <w:rsid w:val="00225B74"/>
    <w:rsid w:val="0022680B"/>
    <w:rsid w:val="00226C69"/>
    <w:rsid w:val="00227044"/>
    <w:rsid w:val="00230417"/>
    <w:rsid w:val="0023091D"/>
    <w:rsid w:val="002321B4"/>
    <w:rsid w:val="002329B6"/>
    <w:rsid w:val="00232E42"/>
    <w:rsid w:val="002333FD"/>
    <w:rsid w:val="0023351C"/>
    <w:rsid w:val="0023455C"/>
    <w:rsid w:val="002351FA"/>
    <w:rsid w:val="002368DC"/>
    <w:rsid w:val="00237AD2"/>
    <w:rsid w:val="002407CD"/>
    <w:rsid w:val="00242505"/>
    <w:rsid w:val="0024270C"/>
    <w:rsid w:val="0024377E"/>
    <w:rsid w:val="00243C87"/>
    <w:rsid w:val="00247F89"/>
    <w:rsid w:val="00253FE6"/>
    <w:rsid w:val="00254482"/>
    <w:rsid w:val="00254488"/>
    <w:rsid w:val="00256D5A"/>
    <w:rsid w:val="0025700B"/>
    <w:rsid w:val="00261AFE"/>
    <w:rsid w:val="0026407F"/>
    <w:rsid w:val="002650E5"/>
    <w:rsid w:val="002670A1"/>
    <w:rsid w:val="00270C7B"/>
    <w:rsid w:val="00271524"/>
    <w:rsid w:val="002720F6"/>
    <w:rsid w:val="00272208"/>
    <w:rsid w:val="00273FF4"/>
    <w:rsid w:val="0027632D"/>
    <w:rsid w:val="00277FC4"/>
    <w:rsid w:val="002821AF"/>
    <w:rsid w:val="00282897"/>
    <w:rsid w:val="0028290A"/>
    <w:rsid w:val="00283B40"/>
    <w:rsid w:val="00283F39"/>
    <w:rsid w:val="00285A49"/>
    <w:rsid w:val="00285CF8"/>
    <w:rsid w:val="00286D26"/>
    <w:rsid w:val="002871A5"/>
    <w:rsid w:val="0029005F"/>
    <w:rsid w:val="0029550E"/>
    <w:rsid w:val="00296BA8"/>
    <w:rsid w:val="0029706D"/>
    <w:rsid w:val="00297368"/>
    <w:rsid w:val="002975FA"/>
    <w:rsid w:val="002A094E"/>
    <w:rsid w:val="002A1898"/>
    <w:rsid w:val="002A4485"/>
    <w:rsid w:val="002A47BF"/>
    <w:rsid w:val="002A4C69"/>
    <w:rsid w:val="002B1424"/>
    <w:rsid w:val="002B1D45"/>
    <w:rsid w:val="002B1F18"/>
    <w:rsid w:val="002B36D2"/>
    <w:rsid w:val="002B52DF"/>
    <w:rsid w:val="002C213B"/>
    <w:rsid w:val="002C22C5"/>
    <w:rsid w:val="002C263C"/>
    <w:rsid w:val="002C4C90"/>
    <w:rsid w:val="002C4C99"/>
    <w:rsid w:val="002C4E1D"/>
    <w:rsid w:val="002C5D86"/>
    <w:rsid w:val="002D15E2"/>
    <w:rsid w:val="002D170C"/>
    <w:rsid w:val="002D2BDB"/>
    <w:rsid w:val="002D3A76"/>
    <w:rsid w:val="002D3B22"/>
    <w:rsid w:val="002D481E"/>
    <w:rsid w:val="002D4D18"/>
    <w:rsid w:val="002D4EF4"/>
    <w:rsid w:val="002D5011"/>
    <w:rsid w:val="002D543A"/>
    <w:rsid w:val="002D6E34"/>
    <w:rsid w:val="002E3ABE"/>
    <w:rsid w:val="002E45FE"/>
    <w:rsid w:val="002E749D"/>
    <w:rsid w:val="002E7DFE"/>
    <w:rsid w:val="002F08B6"/>
    <w:rsid w:val="002F4144"/>
    <w:rsid w:val="002F479D"/>
    <w:rsid w:val="003021A2"/>
    <w:rsid w:val="003033F1"/>
    <w:rsid w:val="00303A45"/>
    <w:rsid w:val="00305298"/>
    <w:rsid w:val="00312843"/>
    <w:rsid w:val="00312A4D"/>
    <w:rsid w:val="00315D1F"/>
    <w:rsid w:val="0031793D"/>
    <w:rsid w:val="00320534"/>
    <w:rsid w:val="00322DE2"/>
    <w:rsid w:val="00323DE8"/>
    <w:rsid w:val="00324F0F"/>
    <w:rsid w:val="003313F9"/>
    <w:rsid w:val="00332458"/>
    <w:rsid w:val="00332D10"/>
    <w:rsid w:val="003346A4"/>
    <w:rsid w:val="00334DB1"/>
    <w:rsid w:val="00336ACF"/>
    <w:rsid w:val="00340539"/>
    <w:rsid w:val="0034088B"/>
    <w:rsid w:val="00341410"/>
    <w:rsid w:val="00341854"/>
    <w:rsid w:val="003455B0"/>
    <w:rsid w:val="00353AD2"/>
    <w:rsid w:val="00356206"/>
    <w:rsid w:val="00356686"/>
    <w:rsid w:val="00357C92"/>
    <w:rsid w:val="003602F6"/>
    <w:rsid w:val="00360A0C"/>
    <w:rsid w:val="00363395"/>
    <w:rsid w:val="00363EBD"/>
    <w:rsid w:val="00366276"/>
    <w:rsid w:val="00367919"/>
    <w:rsid w:val="0037376B"/>
    <w:rsid w:val="00374091"/>
    <w:rsid w:val="003744AE"/>
    <w:rsid w:val="00375F64"/>
    <w:rsid w:val="00381DF6"/>
    <w:rsid w:val="00384670"/>
    <w:rsid w:val="00384B00"/>
    <w:rsid w:val="00384BB8"/>
    <w:rsid w:val="0038566A"/>
    <w:rsid w:val="0038660B"/>
    <w:rsid w:val="0038776A"/>
    <w:rsid w:val="00387AB5"/>
    <w:rsid w:val="00387BF4"/>
    <w:rsid w:val="003914EF"/>
    <w:rsid w:val="00391CAF"/>
    <w:rsid w:val="0039363F"/>
    <w:rsid w:val="0039591B"/>
    <w:rsid w:val="0039605E"/>
    <w:rsid w:val="00397341"/>
    <w:rsid w:val="003A08D2"/>
    <w:rsid w:val="003A1AF9"/>
    <w:rsid w:val="003A1B53"/>
    <w:rsid w:val="003A2B88"/>
    <w:rsid w:val="003A338C"/>
    <w:rsid w:val="003A53E1"/>
    <w:rsid w:val="003A74EA"/>
    <w:rsid w:val="003B3790"/>
    <w:rsid w:val="003B6280"/>
    <w:rsid w:val="003B6A56"/>
    <w:rsid w:val="003B70A7"/>
    <w:rsid w:val="003B7656"/>
    <w:rsid w:val="003C0C4B"/>
    <w:rsid w:val="003C0E04"/>
    <w:rsid w:val="003C6393"/>
    <w:rsid w:val="003D14F2"/>
    <w:rsid w:val="003D152A"/>
    <w:rsid w:val="003D1D6C"/>
    <w:rsid w:val="003E1385"/>
    <w:rsid w:val="003E180A"/>
    <w:rsid w:val="003E1AA5"/>
    <w:rsid w:val="003E36D7"/>
    <w:rsid w:val="003E4068"/>
    <w:rsid w:val="003E66B8"/>
    <w:rsid w:val="003E7A59"/>
    <w:rsid w:val="003F0205"/>
    <w:rsid w:val="003F0A17"/>
    <w:rsid w:val="003F2F01"/>
    <w:rsid w:val="003F36BF"/>
    <w:rsid w:val="003F5FEC"/>
    <w:rsid w:val="003F6C56"/>
    <w:rsid w:val="003F71F5"/>
    <w:rsid w:val="003F72A0"/>
    <w:rsid w:val="003F7C27"/>
    <w:rsid w:val="0040188E"/>
    <w:rsid w:val="00402A00"/>
    <w:rsid w:val="00403B88"/>
    <w:rsid w:val="00403C11"/>
    <w:rsid w:val="004041FD"/>
    <w:rsid w:val="00404493"/>
    <w:rsid w:val="00405346"/>
    <w:rsid w:val="00406716"/>
    <w:rsid w:val="00411745"/>
    <w:rsid w:val="00412207"/>
    <w:rsid w:val="0041248F"/>
    <w:rsid w:val="0041768B"/>
    <w:rsid w:val="00422A05"/>
    <w:rsid w:val="004231B2"/>
    <w:rsid w:val="00423664"/>
    <w:rsid w:val="004259C2"/>
    <w:rsid w:val="0042733D"/>
    <w:rsid w:val="00431A63"/>
    <w:rsid w:val="00431DE8"/>
    <w:rsid w:val="00434247"/>
    <w:rsid w:val="00435C56"/>
    <w:rsid w:val="00436107"/>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3A69"/>
    <w:rsid w:val="00474571"/>
    <w:rsid w:val="004764C7"/>
    <w:rsid w:val="0047767A"/>
    <w:rsid w:val="00477AAF"/>
    <w:rsid w:val="00480E0A"/>
    <w:rsid w:val="00483D52"/>
    <w:rsid w:val="00485D02"/>
    <w:rsid w:val="00485D9D"/>
    <w:rsid w:val="00490341"/>
    <w:rsid w:val="004903C4"/>
    <w:rsid w:val="00490A9A"/>
    <w:rsid w:val="00492C92"/>
    <w:rsid w:val="004933EC"/>
    <w:rsid w:val="00493ADA"/>
    <w:rsid w:val="004964B1"/>
    <w:rsid w:val="00496685"/>
    <w:rsid w:val="004978DB"/>
    <w:rsid w:val="004A123E"/>
    <w:rsid w:val="004A133A"/>
    <w:rsid w:val="004A169C"/>
    <w:rsid w:val="004A25AE"/>
    <w:rsid w:val="004A4C04"/>
    <w:rsid w:val="004A7473"/>
    <w:rsid w:val="004A75FA"/>
    <w:rsid w:val="004B32E3"/>
    <w:rsid w:val="004B4A42"/>
    <w:rsid w:val="004B6634"/>
    <w:rsid w:val="004B6D44"/>
    <w:rsid w:val="004C14AA"/>
    <w:rsid w:val="004C1625"/>
    <w:rsid w:val="004C3862"/>
    <w:rsid w:val="004C4866"/>
    <w:rsid w:val="004C7F76"/>
    <w:rsid w:val="004D0AF5"/>
    <w:rsid w:val="004D14C5"/>
    <w:rsid w:val="004D1539"/>
    <w:rsid w:val="004D20DD"/>
    <w:rsid w:val="004D23D2"/>
    <w:rsid w:val="004D5E0E"/>
    <w:rsid w:val="004D6FF7"/>
    <w:rsid w:val="004D792B"/>
    <w:rsid w:val="004E170B"/>
    <w:rsid w:val="004E3DA5"/>
    <w:rsid w:val="004E4116"/>
    <w:rsid w:val="004E4207"/>
    <w:rsid w:val="004E5152"/>
    <w:rsid w:val="004E563C"/>
    <w:rsid w:val="004E73AB"/>
    <w:rsid w:val="004F3113"/>
    <w:rsid w:val="004F3873"/>
    <w:rsid w:val="004F7611"/>
    <w:rsid w:val="005024E1"/>
    <w:rsid w:val="00506DA4"/>
    <w:rsid w:val="005073C0"/>
    <w:rsid w:val="0051021C"/>
    <w:rsid w:val="00510796"/>
    <w:rsid w:val="0051080A"/>
    <w:rsid w:val="0051397A"/>
    <w:rsid w:val="00513C7B"/>
    <w:rsid w:val="00515B33"/>
    <w:rsid w:val="00516C4B"/>
    <w:rsid w:val="00517C97"/>
    <w:rsid w:val="00520070"/>
    <w:rsid w:val="005217D6"/>
    <w:rsid w:val="00522299"/>
    <w:rsid w:val="005236C8"/>
    <w:rsid w:val="005239EF"/>
    <w:rsid w:val="00524580"/>
    <w:rsid w:val="0052697E"/>
    <w:rsid w:val="0053142F"/>
    <w:rsid w:val="00532BF0"/>
    <w:rsid w:val="00535615"/>
    <w:rsid w:val="00535DF6"/>
    <w:rsid w:val="00536E38"/>
    <w:rsid w:val="005371FA"/>
    <w:rsid w:val="0054012D"/>
    <w:rsid w:val="00545504"/>
    <w:rsid w:val="00550CEB"/>
    <w:rsid w:val="005512BC"/>
    <w:rsid w:val="005528A6"/>
    <w:rsid w:val="005530C0"/>
    <w:rsid w:val="00553B64"/>
    <w:rsid w:val="00553BD2"/>
    <w:rsid w:val="005544CE"/>
    <w:rsid w:val="00555E35"/>
    <w:rsid w:val="00556099"/>
    <w:rsid w:val="00560DC4"/>
    <w:rsid w:val="0056151D"/>
    <w:rsid w:val="005617AE"/>
    <w:rsid w:val="00564268"/>
    <w:rsid w:val="00565710"/>
    <w:rsid w:val="00566A31"/>
    <w:rsid w:val="00567753"/>
    <w:rsid w:val="005726A5"/>
    <w:rsid w:val="005740E2"/>
    <w:rsid w:val="005756FE"/>
    <w:rsid w:val="0057620A"/>
    <w:rsid w:val="00576B77"/>
    <w:rsid w:val="00580473"/>
    <w:rsid w:val="005830FD"/>
    <w:rsid w:val="00585A58"/>
    <w:rsid w:val="00586701"/>
    <w:rsid w:val="00587716"/>
    <w:rsid w:val="0059197A"/>
    <w:rsid w:val="0059201D"/>
    <w:rsid w:val="0059219F"/>
    <w:rsid w:val="00592F04"/>
    <w:rsid w:val="00595E32"/>
    <w:rsid w:val="00595FDD"/>
    <w:rsid w:val="0059639F"/>
    <w:rsid w:val="00596A01"/>
    <w:rsid w:val="00596DB2"/>
    <w:rsid w:val="005A27BA"/>
    <w:rsid w:val="005A31F1"/>
    <w:rsid w:val="005A3A98"/>
    <w:rsid w:val="005A446F"/>
    <w:rsid w:val="005A48CB"/>
    <w:rsid w:val="005A6305"/>
    <w:rsid w:val="005A652A"/>
    <w:rsid w:val="005A7A1F"/>
    <w:rsid w:val="005B1AC5"/>
    <w:rsid w:val="005B2751"/>
    <w:rsid w:val="005B2FFD"/>
    <w:rsid w:val="005B655A"/>
    <w:rsid w:val="005B6597"/>
    <w:rsid w:val="005B76D0"/>
    <w:rsid w:val="005B7B7B"/>
    <w:rsid w:val="005B7BE7"/>
    <w:rsid w:val="005C037C"/>
    <w:rsid w:val="005C21C3"/>
    <w:rsid w:val="005C5115"/>
    <w:rsid w:val="005C54E7"/>
    <w:rsid w:val="005C70F3"/>
    <w:rsid w:val="005C7E4C"/>
    <w:rsid w:val="005D0E47"/>
    <w:rsid w:val="005D4161"/>
    <w:rsid w:val="005D506B"/>
    <w:rsid w:val="005D6081"/>
    <w:rsid w:val="005D644A"/>
    <w:rsid w:val="005E02A7"/>
    <w:rsid w:val="005E08B1"/>
    <w:rsid w:val="005E0AD2"/>
    <w:rsid w:val="005E169D"/>
    <w:rsid w:val="005E19D8"/>
    <w:rsid w:val="005E2C48"/>
    <w:rsid w:val="005E60E3"/>
    <w:rsid w:val="005E6B59"/>
    <w:rsid w:val="005E77DC"/>
    <w:rsid w:val="005E7BE9"/>
    <w:rsid w:val="005F09CB"/>
    <w:rsid w:val="005F0C5A"/>
    <w:rsid w:val="005F1497"/>
    <w:rsid w:val="005F264E"/>
    <w:rsid w:val="005F3965"/>
    <w:rsid w:val="005F4E03"/>
    <w:rsid w:val="005F4F7A"/>
    <w:rsid w:val="005F51D2"/>
    <w:rsid w:val="005F53BE"/>
    <w:rsid w:val="005F5B01"/>
    <w:rsid w:val="005F7858"/>
    <w:rsid w:val="005F7E4D"/>
    <w:rsid w:val="006017D7"/>
    <w:rsid w:val="0060359F"/>
    <w:rsid w:val="00607377"/>
    <w:rsid w:val="00607E30"/>
    <w:rsid w:val="0061015F"/>
    <w:rsid w:val="006102D3"/>
    <w:rsid w:val="006105A0"/>
    <w:rsid w:val="00610E44"/>
    <w:rsid w:val="00610FF8"/>
    <w:rsid w:val="00612E0D"/>
    <w:rsid w:val="00612E40"/>
    <w:rsid w:val="00614172"/>
    <w:rsid w:val="0061540D"/>
    <w:rsid w:val="00615565"/>
    <w:rsid w:val="006159E0"/>
    <w:rsid w:val="0061677C"/>
    <w:rsid w:val="0061684C"/>
    <w:rsid w:val="006201D7"/>
    <w:rsid w:val="00621AF5"/>
    <w:rsid w:val="006228F4"/>
    <w:rsid w:val="006238FF"/>
    <w:rsid w:val="00630701"/>
    <w:rsid w:val="00633065"/>
    <w:rsid w:val="006365E3"/>
    <w:rsid w:val="00637ABE"/>
    <w:rsid w:val="00641C47"/>
    <w:rsid w:val="00642894"/>
    <w:rsid w:val="0064292A"/>
    <w:rsid w:val="006470FE"/>
    <w:rsid w:val="00650A71"/>
    <w:rsid w:val="00652846"/>
    <w:rsid w:val="00652F9E"/>
    <w:rsid w:val="00655557"/>
    <w:rsid w:val="006570BC"/>
    <w:rsid w:val="006617D8"/>
    <w:rsid w:val="00661DD9"/>
    <w:rsid w:val="00662506"/>
    <w:rsid w:val="0066299F"/>
    <w:rsid w:val="00662F0A"/>
    <w:rsid w:val="006639AD"/>
    <w:rsid w:val="006651F5"/>
    <w:rsid w:val="00665E8B"/>
    <w:rsid w:val="00666392"/>
    <w:rsid w:val="006667CC"/>
    <w:rsid w:val="006669B8"/>
    <w:rsid w:val="0066794B"/>
    <w:rsid w:val="00670549"/>
    <w:rsid w:val="00672B9B"/>
    <w:rsid w:val="00673F48"/>
    <w:rsid w:val="006750A6"/>
    <w:rsid w:val="00676CA9"/>
    <w:rsid w:val="0067706E"/>
    <w:rsid w:val="006820A0"/>
    <w:rsid w:val="0068357B"/>
    <w:rsid w:val="00683938"/>
    <w:rsid w:val="00684873"/>
    <w:rsid w:val="00685FF0"/>
    <w:rsid w:val="00686CEE"/>
    <w:rsid w:val="0068771C"/>
    <w:rsid w:val="00687DD6"/>
    <w:rsid w:val="00690DFA"/>
    <w:rsid w:val="00691324"/>
    <w:rsid w:val="00692AD3"/>
    <w:rsid w:val="006937DA"/>
    <w:rsid w:val="006954A8"/>
    <w:rsid w:val="006956B2"/>
    <w:rsid w:val="006964B5"/>
    <w:rsid w:val="006A07CC"/>
    <w:rsid w:val="006A105D"/>
    <w:rsid w:val="006A6EC4"/>
    <w:rsid w:val="006B2768"/>
    <w:rsid w:val="006C2E8A"/>
    <w:rsid w:val="006C323B"/>
    <w:rsid w:val="006C364B"/>
    <w:rsid w:val="006C376D"/>
    <w:rsid w:val="006C7292"/>
    <w:rsid w:val="006D13DF"/>
    <w:rsid w:val="006D3B00"/>
    <w:rsid w:val="006D7DB2"/>
    <w:rsid w:val="006E011E"/>
    <w:rsid w:val="006E3070"/>
    <w:rsid w:val="006E5DE8"/>
    <w:rsid w:val="006E6D50"/>
    <w:rsid w:val="006E72CB"/>
    <w:rsid w:val="006F148A"/>
    <w:rsid w:val="006F3A4D"/>
    <w:rsid w:val="006F3BE8"/>
    <w:rsid w:val="006F4E41"/>
    <w:rsid w:val="00701675"/>
    <w:rsid w:val="00701F55"/>
    <w:rsid w:val="0070248E"/>
    <w:rsid w:val="00702788"/>
    <w:rsid w:val="007028F4"/>
    <w:rsid w:val="007035E0"/>
    <w:rsid w:val="00705419"/>
    <w:rsid w:val="00706EA0"/>
    <w:rsid w:val="0071409A"/>
    <w:rsid w:val="00714F70"/>
    <w:rsid w:val="007154AA"/>
    <w:rsid w:val="00721484"/>
    <w:rsid w:val="007271CB"/>
    <w:rsid w:val="00734222"/>
    <w:rsid w:val="00734354"/>
    <w:rsid w:val="00735FE0"/>
    <w:rsid w:val="00736E45"/>
    <w:rsid w:val="00737C26"/>
    <w:rsid w:val="00740AC8"/>
    <w:rsid w:val="00741FC0"/>
    <w:rsid w:val="00743CE0"/>
    <w:rsid w:val="007457D7"/>
    <w:rsid w:val="00745A19"/>
    <w:rsid w:val="00745F27"/>
    <w:rsid w:val="007467E4"/>
    <w:rsid w:val="0074682B"/>
    <w:rsid w:val="00746ACF"/>
    <w:rsid w:val="0075215A"/>
    <w:rsid w:val="00752756"/>
    <w:rsid w:val="00752A91"/>
    <w:rsid w:val="00752D09"/>
    <w:rsid w:val="0075420D"/>
    <w:rsid w:val="007548FB"/>
    <w:rsid w:val="0075505A"/>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25AB"/>
    <w:rsid w:val="00785B05"/>
    <w:rsid w:val="00786BFA"/>
    <w:rsid w:val="007872F6"/>
    <w:rsid w:val="00790D4A"/>
    <w:rsid w:val="00791658"/>
    <w:rsid w:val="007942D7"/>
    <w:rsid w:val="00794578"/>
    <w:rsid w:val="007951CF"/>
    <w:rsid w:val="00796DE6"/>
    <w:rsid w:val="00796EEE"/>
    <w:rsid w:val="007972AD"/>
    <w:rsid w:val="0079784E"/>
    <w:rsid w:val="007A1CC1"/>
    <w:rsid w:val="007A38A3"/>
    <w:rsid w:val="007A424D"/>
    <w:rsid w:val="007A5F84"/>
    <w:rsid w:val="007A618F"/>
    <w:rsid w:val="007B1473"/>
    <w:rsid w:val="007B3FD1"/>
    <w:rsid w:val="007B5AE9"/>
    <w:rsid w:val="007B6943"/>
    <w:rsid w:val="007B7B01"/>
    <w:rsid w:val="007B7FB8"/>
    <w:rsid w:val="007C074A"/>
    <w:rsid w:val="007C0E68"/>
    <w:rsid w:val="007C1C19"/>
    <w:rsid w:val="007C1E62"/>
    <w:rsid w:val="007C26C6"/>
    <w:rsid w:val="007C4DF8"/>
    <w:rsid w:val="007C4FEB"/>
    <w:rsid w:val="007C5383"/>
    <w:rsid w:val="007C6863"/>
    <w:rsid w:val="007C7DCC"/>
    <w:rsid w:val="007D16F2"/>
    <w:rsid w:val="007D1BC5"/>
    <w:rsid w:val="007D21B3"/>
    <w:rsid w:val="007D2BF7"/>
    <w:rsid w:val="007D326F"/>
    <w:rsid w:val="007D47BE"/>
    <w:rsid w:val="007D4FDA"/>
    <w:rsid w:val="007D5326"/>
    <w:rsid w:val="007D59AE"/>
    <w:rsid w:val="007D6179"/>
    <w:rsid w:val="007D6D32"/>
    <w:rsid w:val="007D6E3F"/>
    <w:rsid w:val="007D7351"/>
    <w:rsid w:val="007E3A22"/>
    <w:rsid w:val="007E4FD6"/>
    <w:rsid w:val="007E7DD1"/>
    <w:rsid w:val="007E7E28"/>
    <w:rsid w:val="007F05DA"/>
    <w:rsid w:val="007F0D17"/>
    <w:rsid w:val="007F199E"/>
    <w:rsid w:val="007F19FD"/>
    <w:rsid w:val="007F3AB5"/>
    <w:rsid w:val="007F7062"/>
    <w:rsid w:val="00800147"/>
    <w:rsid w:val="0080064A"/>
    <w:rsid w:val="008014BC"/>
    <w:rsid w:val="008016FB"/>
    <w:rsid w:val="008021B4"/>
    <w:rsid w:val="00802ADE"/>
    <w:rsid w:val="00803340"/>
    <w:rsid w:val="00804F63"/>
    <w:rsid w:val="00805FB2"/>
    <w:rsid w:val="008071DE"/>
    <w:rsid w:val="008075F2"/>
    <w:rsid w:val="00807725"/>
    <w:rsid w:val="008106CB"/>
    <w:rsid w:val="00811284"/>
    <w:rsid w:val="008128DD"/>
    <w:rsid w:val="00813959"/>
    <w:rsid w:val="008146C8"/>
    <w:rsid w:val="00816556"/>
    <w:rsid w:val="00820C5D"/>
    <w:rsid w:val="00820EE7"/>
    <w:rsid w:val="00827E46"/>
    <w:rsid w:val="008307E7"/>
    <w:rsid w:val="00830801"/>
    <w:rsid w:val="00831051"/>
    <w:rsid w:val="0083168F"/>
    <w:rsid w:val="00833842"/>
    <w:rsid w:val="00841E24"/>
    <w:rsid w:val="00844885"/>
    <w:rsid w:val="00844C03"/>
    <w:rsid w:val="00844CCC"/>
    <w:rsid w:val="008453D3"/>
    <w:rsid w:val="00846DD5"/>
    <w:rsid w:val="0085066B"/>
    <w:rsid w:val="0085432C"/>
    <w:rsid w:val="00854779"/>
    <w:rsid w:val="0085498A"/>
    <w:rsid w:val="00854EC6"/>
    <w:rsid w:val="00855A5A"/>
    <w:rsid w:val="00857A7F"/>
    <w:rsid w:val="00860754"/>
    <w:rsid w:val="00861509"/>
    <w:rsid w:val="008647EB"/>
    <w:rsid w:val="00864EF0"/>
    <w:rsid w:val="00864EF1"/>
    <w:rsid w:val="00865E02"/>
    <w:rsid w:val="00866100"/>
    <w:rsid w:val="00871E82"/>
    <w:rsid w:val="00873122"/>
    <w:rsid w:val="0088061E"/>
    <w:rsid w:val="008814ED"/>
    <w:rsid w:val="00882F6F"/>
    <w:rsid w:val="008848A4"/>
    <w:rsid w:val="00885092"/>
    <w:rsid w:val="00885CD1"/>
    <w:rsid w:val="00885EE3"/>
    <w:rsid w:val="00886966"/>
    <w:rsid w:val="00887B3D"/>
    <w:rsid w:val="00890552"/>
    <w:rsid w:val="00890C04"/>
    <w:rsid w:val="008915EB"/>
    <w:rsid w:val="00893EAC"/>
    <w:rsid w:val="008947F4"/>
    <w:rsid w:val="008968A8"/>
    <w:rsid w:val="00896E95"/>
    <w:rsid w:val="00897768"/>
    <w:rsid w:val="008A0CD3"/>
    <w:rsid w:val="008A1A0A"/>
    <w:rsid w:val="008A46A3"/>
    <w:rsid w:val="008A7370"/>
    <w:rsid w:val="008B0CAF"/>
    <w:rsid w:val="008B5086"/>
    <w:rsid w:val="008B76CE"/>
    <w:rsid w:val="008C02BF"/>
    <w:rsid w:val="008C04AB"/>
    <w:rsid w:val="008C1C2C"/>
    <w:rsid w:val="008C1E67"/>
    <w:rsid w:val="008C7846"/>
    <w:rsid w:val="008D0224"/>
    <w:rsid w:val="008D34C1"/>
    <w:rsid w:val="008D3B53"/>
    <w:rsid w:val="008D4CAE"/>
    <w:rsid w:val="008D585A"/>
    <w:rsid w:val="008E14AA"/>
    <w:rsid w:val="008E1F6D"/>
    <w:rsid w:val="008E27CA"/>
    <w:rsid w:val="008E4957"/>
    <w:rsid w:val="008E5F5E"/>
    <w:rsid w:val="008E684E"/>
    <w:rsid w:val="008F1B72"/>
    <w:rsid w:val="008F36DB"/>
    <w:rsid w:val="008F5750"/>
    <w:rsid w:val="008F5A9F"/>
    <w:rsid w:val="00902872"/>
    <w:rsid w:val="00902AA5"/>
    <w:rsid w:val="00903852"/>
    <w:rsid w:val="00906028"/>
    <w:rsid w:val="00906C49"/>
    <w:rsid w:val="00911CA1"/>
    <w:rsid w:val="00911FFD"/>
    <w:rsid w:val="00912358"/>
    <w:rsid w:val="009129C2"/>
    <w:rsid w:val="0091357A"/>
    <w:rsid w:val="00913DA0"/>
    <w:rsid w:val="00917B4C"/>
    <w:rsid w:val="00922D15"/>
    <w:rsid w:val="00924BBF"/>
    <w:rsid w:val="00925917"/>
    <w:rsid w:val="00925C72"/>
    <w:rsid w:val="00930B8D"/>
    <w:rsid w:val="009310C1"/>
    <w:rsid w:val="00932E23"/>
    <w:rsid w:val="00933F91"/>
    <w:rsid w:val="00936A79"/>
    <w:rsid w:val="00940316"/>
    <w:rsid w:val="009410CB"/>
    <w:rsid w:val="00944AF7"/>
    <w:rsid w:val="00944CF8"/>
    <w:rsid w:val="00946284"/>
    <w:rsid w:val="009467A5"/>
    <w:rsid w:val="00953708"/>
    <w:rsid w:val="00953B7B"/>
    <w:rsid w:val="00960F8F"/>
    <w:rsid w:val="009611D4"/>
    <w:rsid w:val="009624EE"/>
    <w:rsid w:val="00965618"/>
    <w:rsid w:val="0096762D"/>
    <w:rsid w:val="009706BE"/>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977E0"/>
    <w:rsid w:val="009A012E"/>
    <w:rsid w:val="009A0168"/>
    <w:rsid w:val="009A1615"/>
    <w:rsid w:val="009A2DA6"/>
    <w:rsid w:val="009A498F"/>
    <w:rsid w:val="009A6563"/>
    <w:rsid w:val="009A6AA5"/>
    <w:rsid w:val="009A6ADB"/>
    <w:rsid w:val="009A7E13"/>
    <w:rsid w:val="009B0C68"/>
    <w:rsid w:val="009B0D86"/>
    <w:rsid w:val="009B2BE7"/>
    <w:rsid w:val="009B303C"/>
    <w:rsid w:val="009B3451"/>
    <w:rsid w:val="009B380E"/>
    <w:rsid w:val="009B429A"/>
    <w:rsid w:val="009B4782"/>
    <w:rsid w:val="009B61E3"/>
    <w:rsid w:val="009B76BE"/>
    <w:rsid w:val="009C1443"/>
    <w:rsid w:val="009C1544"/>
    <w:rsid w:val="009C2C41"/>
    <w:rsid w:val="009C690A"/>
    <w:rsid w:val="009D1DF2"/>
    <w:rsid w:val="009D63CE"/>
    <w:rsid w:val="009D7252"/>
    <w:rsid w:val="009D754C"/>
    <w:rsid w:val="009E2D99"/>
    <w:rsid w:val="009E324E"/>
    <w:rsid w:val="009E3A90"/>
    <w:rsid w:val="009E4865"/>
    <w:rsid w:val="009E53B8"/>
    <w:rsid w:val="009E62A8"/>
    <w:rsid w:val="009E68FE"/>
    <w:rsid w:val="009F3C45"/>
    <w:rsid w:val="009F4CE6"/>
    <w:rsid w:val="009F5173"/>
    <w:rsid w:val="009F5A3B"/>
    <w:rsid w:val="009F6C74"/>
    <w:rsid w:val="00A0253A"/>
    <w:rsid w:val="00A05602"/>
    <w:rsid w:val="00A06F8B"/>
    <w:rsid w:val="00A0741C"/>
    <w:rsid w:val="00A1058B"/>
    <w:rsid w:val="00A12B9D"/>
    <w:rsid w:val="00A1461F"/>
    <w:rsid w:val="00A1685B"/>
    <w:rsid w:val="00A20D13"/>
    <w:rsid w:val="00A22F2C"/>
    <w:rsid w:val="00A25538"/>
    <w:rsid w:val="00A265AF"/>
    <w:rsid w:val="00A26D1E"/>
    <w:rsid w:val="00A276E7"/>
    <w:rsid w:val="00A307DF"/>
    <w:rsid w:val="00A30819"/>
    <w:rsid w:val="00A31228"/>
    <w:rsid w:val="00A3140C"/>
    <w:rsid w:val="00A32388"/>
    <w:rsid w:val="00A3393F"/>
    <w:rsid w:val="00A357F1"/>
    <w:rsid w:val="00A363CD"/>
    <w:rsid w:val="00A363EE"/>
    <w:rsid w:val="00A36D79"/>
    <w:rsid w:val="00A36FC0"/>
    <w:rsid w:val="00A37740"/>
    <w:rsid w:val="00A37FD7"/>
    <w:rsid w:val="00A42644"/>
    <w:rsid w:val="00A44867"/>
    <w:rsid w:val="00A44980"/>
    <w:rsid w:val="00A44EF5"/>
    <w:rsid w:val="00A462EA"/>
    <w:rsid w:val="00A47908"/>
    <w:rsid w:val="00A50380"/>
    <w:rsid w:val="00A51145"/>
    <w:rsid w:val="00A519D3"/>
    <w:rsid w:val="00A5254D"/>
    <w:rsid w:val="00A52F5B"/>
    <w:rsid w:val="00A55315"/>
    <w:rsid w:val="00A55E3F"/>
    <w:rsid w:val="00A56C5B"/>
    <w:rsid w:val="00A603FA"/>
    <w:rsid w:val="00A62A8C"/>
    <w:rsid w:val="00A63C3E"/>
    <w:rsid w:val="00A66A0E"/>
    <w:rsid w:val="00A67476"/>
    <w:rsid w:val="00A67E01"/>
    <w:rsid w:val="00A702F0"/>
    <w:rsid w:val="00A70979"/>
    <w:rsid w:val="00A714E3"/>
    <w:rsid w:val="00A747AD"/>
    <w:rsid w:val="00A75CE5"/>
    <w:rsid w:val="00A76E69"/>
    <w:rsid w:val="00A80E77"/>
    <w:rsid w:val="00A8228B"/>
    <w:rsid w:val="00A82BFB"/>
    <w:rsid w:val="00A851D8"/>
    <w:rsid w:val="00A860DA"/>
    <w:rsid w:val="00A86A03"/>
    <w:rsid w:val="00A90CF2"/>
    <w:rsid w:val="00A933E7"/>
    <w:rsid w:val="00A94BEB"/>
    <w:rsid w:val="00A9549A"/>
    <w:rsid w:val="00A95704"/>
    <w:rsid w:val="00A96814"/>
    <w:rsid w:val="00A96D39"/>
    <w:rsid w:val="00A96F2C"/>
    <w:rsid w:val="00A97939"/>
    <w:rsid w:val="00AA09BD"/>
    <w:rsid w:val="00AA1C47"/>
    <w:rsid w:val="00AA1D87"/>
    <w:rsid w:val="00AA1EF3"/>
    <w:rsid w:val="00AA212D"/>
    <w:rsid w:val="00AA4054"/>
    <w:rsid w:val="00AA4397"/>
    <w:rsid w:val="00AA4B70"/>
    <w:rsid w:val="00AA4BF1"/>
    <w:rsid w:val="00AB2166"/>
    <w:rsid w:val="00AB5C83"/>
    <w:rsid w:val="00AC101D"/>
    <w:rsid w:val="00AC1369"/>
    <w:rsid w:val="00AC3AFD"/>
    <w:rsid w:val="00AC4F67"/>
    <w:rsid w:val="00AC5BD9"/>
    <w:rsid w:val="00AC7361"/>
    <w:rsid w:val="00AD1E9F"/>
    <w:rsid w:val="00AD27C1"/>
    <w:rsid w:val="00AD6955"/>
    <w:rsid w:val="00AE1CB0"/>
    <w:rsid w:val="00AE4383"/>
    <w:rsid w:val="00AE4F84"/>
    <w:rsid w:val="00AE5548"/>
    <w:rsid w:val="00AE597A"/>
    <w:rsid w:val="00AF1DDD"/>
    <w:rsid w:val="00AF3657"/>
    <w:rsid w:val="00AF746F"/>
    <w:rsid w:val="00B01365"/>
    <w:rsid w:val="00B033EE"/>
    <w:rsid w:val="00B1063A"/>
    <w:rsid w:val="00B12542"/>
    <w:rsid w:val="00B12FA7"/>
    <w:rsid w:val="00B147BB"/>
    <w:rsid w:val="00B152A8"/>
    <w:rsid w:val="00B17141"/>
    <w:rsid w:val="00B172A5"/>
    <w:rsid w:val="00B217A2"/>
    <w:rsid w:val="00B243C6"/>
    <w:rsid w:val="00B2516E"/>
    <w:rsid w:val="00B26DE3"/>
    <w:rsid w:val="00B3183B"/>
    <w:rsid w:val="00B34138"/>
    <w:rsid w:val="00B34408"/>
    <w:rsid w:val="00B34890"/>
    <w:rsid w:val="00B35411"/>
    <w:rsid w:val="00B35A61"/>
    <w:rsid w:val="00B362A5"/>
    <w:rsid w:val="00B37139"/>
    <w:rsid w:val="00B40343"/>
    <w:rsid w:val="00B435B5"/>
    <w:rsid w:val="00B43A8C"/>
    <w:rsid w:val="00B44DC8"/>
    <w:rsid w:val="00B45D25"/>
    <w:rsid w:val="00B4694F"/>
    <w:rsid w:val="00B510F6"/>
    <w:rsid w:val="00B51DA4"/>
    <w:rsid w:val="00B52619"/>
    <w:rsid w:val="00B564B1"/>
    <w:rsid w:val="00B564B6"/>
    <w:rsid w:val="00B5725E"/>
    <w:rsid w:val="00B5746B"/>
    <w:rsid w:val="00B60332"/>
    <w:rsid w:val="00B60618"/>
    <w:rsid w:val="00B6284F"/>
    <w:rsid w:val="00B651B9"/>
    <w:rsid w:val="00B66B8D"/>
    <w:rsid w:val="00B71A98"/>
    <w:rsid w:val="00B72EC1"/>
    <w:rsid w:val="00B801E5"/>
    <w:rsid w:val="00B8123D"/>
    <w:rsid w:val="00B825B0"/>
    <w:rsid w:val="00B8293D"/>
    <w:rsid w:val="00B82BFE"/>
    <w:rsid w:val="00B834D6"/>
    <w:rsid w:val="00B867A0"/>
    <w:rsid w:val="00B91D0D"/>
    <w:rsid w:val="00B95568"/>
    <w:rsid w:val="00B955C6"/>
    <w:rsid w:val="00B971AD"/>
    <w:rsid w:val="00BA0223"/>
    <w:rsid w:val="00BA139E"/>
    <w:rsid w:val="00BA175C"/>
    <w:rsid w:val="00BA24B6"/>
    <w:rsid w:val="00BA4198"/>
    <w:rsid w:val="00BA684F"/>
    <w:rsid w:val="00BA75D3"/>
    <w:rsid w:val="00BA7ABA"/>
    <w:rsid w:val="00BB0FE8"/>
    <w:rsid w:val="00BB19A9"/>
    <w:rsid w:val="00BB549A"/>
    <w:rsid w:val="00BC010F"/>
    <w:rsid w:val="00BC1167"/>
    <w:rsid w:val="00BC4E5F"/>
    <w:rsid w:val="00BC587A"/>
    <w:rsid w:val="00BC64E0"/>
    <w:rsid w:val="00BD1CEC"/>
    <w:rsid w:val="00BD2203"/>
    <w:rsid w:val="00BD3D7A"/>
    <w:rsid w:val="00BD44BB"/>
    <w:rsid w:val="00BD47A2"/>
    <w:rsid w:val="00BE0033"/>
    <w:rsid w:val="00BE2F8B"/>
    <w:rsid w:val="00BE573C"/>
    <w:rsid w:val="00BE64B8"/>
    <w:rsid w:val="00BE6646"/>
    <w:rsid w:val="00BE67F2"/>
    <w:rsid w:val="00BF070F"/>
    <w:rsid w:val="00BF2CF4"/>
    <w:rsid w:val="00BF2EAA"/>
    <w:rsid w:val="00BF4162"/>
    <w:rsid w:val="00BF579B"/>
    <w:rsid w:val="00BF63C1"/>
    <w:rsid w:val="00BF68C9"/>
    <w:rsid w:val="00C04281"/>
    <w:rsid w:val="00C04712"/>
    <w:rsid w:val="00C04D91"/>
    <w:rsid w:val="00C0772B"/>
    <w:rsid w:val="00C103C4"/>
    <w:rsid w:val="00C10544"/>
    <w:rsid w:val="00C121C7"/>
    <w:rsid w:val="00C124EC"/>
    <w:rsid w:val="00C12530"/>
    <w:rsid w:val="00C13D24"/>
    <w:rsid w:val="00C168A2"/>
    <w:rsid w:val="00C178F9"/>
    <w:rsid w:val="00C2125E"/>
    <w:rsid w:val="00C21A50"/>
    <w:rsid w:val="00C2223E"/>
    <w:rsid w:val="00C22363"/>
    <w:rsid w:val="00C22C9C"/>
    <w:rsid w:val="00C22F7D"/>
    <w:rsid w:val="00C23AFC"/>
    <w:rsid w:val="00C23DA4"/>
    <w:rsid w:val="00C24231"/>
    <w:rsid w:val="00C24829"/>
    <w:rsid w:val="00C25FEB"/>
    <w:rsid w:val="00C305E9"/>
    <w:rsid w:val="00C31533"/>
    <w:rsid w:val="00C31FB4"/>
    <w:rsid w:val="00C320C7"/>
    <w:rsid w:val="00C34BFD"/>
    <w:rsid w:val="00C36407"/>
    <w:rsid w:val="00C37576"/>
    <w:rsid w:val="00C37BE1"/>
    <w:rsid w:val="00C417D0"/>
    <w:rsid w:val="00C426C8"/>
    <w:rsid w:val="00C42950"/>
    <w:rsid w:val="00C429AD"/>
    <w:rsid w:val="00C442AE"/>
    <w:rsid w:val="00C44E0C"/>
    <w:rsid w:val="00C4658E"/>
    <w:rsid w:val="00C472A2"/>
    <w:rsid w:val="00C51BC5"/>
    <w:rsid w:val="00C51CCC"/>
    <w:rsid w:val="00C541E5"/>
    <w:rsid w:val="00C55671"/>
    <w:rsid w:val="00C603C3"/>
    <w:rsid w:val="00C61F66"/>
    <w:rsid w:val="00C64532"/>
    <w:rsid w:val="00C70BB4"/>
    <w:rsid w:val="00C7196E"/>
    <w:rsid w:val="00C7313F"/>
    <w:rsid w:val="00C739E0"/>
    <w:rsid w:val="00C73E7A"/>
    <w:rsid w:val="00C76D48"/>
    <w:rsid w:val="00C77BC1"/>
    <w:rsid w:val="00C81AD0"/>
    <w:rsid w:val="00C96690"/>
    <w:rsid w:val="00CA0C45"/>
    <w:rsid w:val="00CA320D"/>
    <w:rsid w:val="00CA3F65"/>
    <w:rsid w:val="00CA5AAF"/>
    <w:rsid w:val="00CA5C56"/>
    <w:rsid w:val="00CB033B"/>
    <w:rsid w:val="00CB13E6"/>
    <w:rsid w:val="00CB3671"/>
    <w:rsid w:val="00CB5939"/>
    <w:rsid w:val="00CB6492"/>
    <w:rsid w:val="00CC02D0"/>
    <w:rsid w:val="00CC1E03"/>
    <w:rsid w:val="00CC1F8C"/>
    <w:rsid w:val="00CC22BE"/>
    <w:rsid w:val="00CC2E19"/>
    <w:rsid w:val="00CC3603"/>
    <w:rsid w:val="00CC45F3"/>
    <w:rsid w:val="00CC6379"/>
    <w:rsid w:val="00CC640F"/>
    <w:rsid w:val="00CC786F"/>
    <w:rsid w:val="00CD13A9"/>
    <w:rsid w:val="00CD16E5"/>
    <w:rsid w:val="00CD34FC"/>
    <w:rsid w:val="00CD56F1"/>
    <w:rsid w:val="00CD7193"/>
    <w:rsid w:val="00CE13F6"/>
    <w:rsid w:val="00CE16ED"/>
    <w:rsid w:val="00CE269E"/>
    <w:rsid w:val="00CE2ED5"/>
    <w:rsid w:val="00CE6EF2"/>
    <w:rsid w:val="00CE7B70"/>
    <w:rsid w:val="00CF0D77"/>
    <w:rsid w:val="00CF24C6"/>
    <w:rsid w:val="00CF6FE5"/>
    <w:rsid w:val="00D005C3"/>
    <w:rsid w:val="00D01DC2"/>
    <w:rsid w:val="00D03766"/>
    <w:rsid w:val="00D07F00"/>
    <w:rsid w:val="00D11758"/>
    <w:rsid w:val="00D11EF3"/>
    <w:rsid w:val="00D12BA5"/>
    <w:rsid w:val="00D14840"/>
    <w:rsid w:val="00D14F1D"/>
    <w:rsid w:val="00D207FC"/>
    <w:rsid w:val="00D21D49"/>
    <w:rsid w:val="00D2238A"/>
    <w:rsid w:val="00D2252F"/>
    <w:rsid w:val="00D22841"/>
    <w:rsid w:val="00D2284D"/>
    <w:rsid w:val="00D2442A"/>
    <w:rsid w:val="00D26D59"/>
    <w:rsid w:val="00D30C72"/>
    <w:rsid w:val="00D3180F"/>
    <w:rsid w:val="00D32134"/>
    <w:rsid w:val="00D329C5"/>
    <w:rsid w:val="00D32DFB"/>
    <w:rsid w:val="00D3321D"/>
    <w:rsid w:val="00D33BD9"/>
    <w:rsid w:val="00D35DEF"/>
    <w:rsid w:val="00D44CF6"/>
    <w:rsid w:val="00D5069B"/>
    <w:rsid w:val="00D51BC7"/>
    <w:rsid w:val="00D52A4A"/>
    <w:rsid w:val="00D52F93"/>
    <w:rsid w:val="00D562BF"/>
    <w:rsid w:val="00D578EE"/>
    <w:rsid w:val="00D61912"/>
    <w:rsid w:val="00D61BC0"/>
    <w:rsid w:val="00D62EB1"/>
    <w:rsid w:val="00D66263"/>
    <w:rsid w:val="00D66AF2"/>
    <w:rsid w:val="00D67195"/>
    <w:rsid w:val="00D67DA2"/>
    <w:rsid w:val="00D70C6A"/>
    <w:rsid w:val="00D728E4"/>
    <w:rsid w:val="00D7340F"/>
    <w:rsid w:val="00D75428"/>
    <w:rsid w:val="00D75599"/>
    <w:rsid w:val="00D80559"/>
    <w:rsid w:val="00D824E7"/>
    <w:rsid w:val="00D82734"/>
    <w:rsid w:val="00D8371B"/>
    <w:rsid w:val="00D8505F"/>
    <w:rsid w:val="00D863E0"/>
    <w:rsid w:val="00D866E0"/>
    <w:rsid w:val="00D867B1"/>
    <w:rsid w:val="00D86CB2"/>
    <w:rsid w:val="00D91433"/>
    <w:rsid w:val="00D921A5"/>
    <w:rsid w:val="00D92C94"/>
    <w:rsid w:val="00D93340"/>
    <w:rsid w:val="00DA03AE"/>
    <w:rsid w:val="00DA0FDC"/>
    <w:rsid w:val="00DA1207"/>
    <w:rsid w:val="00DA1254"/>
    <w:rsid w:val="00DA2E1A"/>
    <w:rsid w:val="00DA3D1A"/>
    <w:rsid w:val="00DA4115"/>
    <w:rsid w:val="00DA6318"/>
    <w:rsid w:val="00DA6AED"/>
    <w:rsid w:val="00DA7715"/>
    <w:rsid w:val="00DA790F"/>
    <w:rsid w:val="00DB052A"/>
    <w:rsid w:val="00DB09C5"/>
    <w:rsid w:val="00DB2527"/>
    <w:rsid w:val="00DB2B0A"/>
    <w:rsid w:val="00DB2C20"/>
    <w:rsid w:val="00DB2EEA"/>
    <w:rsid w:val="00DB3CE4"/>
    <w:rsid w:val="00DB60CA"/>
    <w:rsid w:val="00DB61F8"/>
    <w:rsid w:val="00DB7A21"/>
    <w:rsid w:val="00DC46F6"/>
    <w:rsid w:val="00DC49CC"/>
    <w:rsid w:val="00DC6013"/>
    <w:rsid w:val="00DC60C5"/>
    <w:rsid w:val="00DD024A"/>
    <w:rsid w:val="00DD14FB"/>
    <w:rsid w:val="00DD413B"/>
    <w:rsid w:val="00DD450D"/>
    <w:rsid w:val="00DE2E28"/>
    <w:rsid w:val="00DE430A"/>
    <w:rsid w:val="00DE447F"/>
    <w:rsid w:val="00DE4C2C"/>
    <w:rsid w:val="00DE544C"/>
    <w:rsid w:val="00DE5974"/>
    <w:rsid w:val="00DE623E"/>
    <w:rsid w:val="00DF0679"/>
    <w:rsid w:val="00DF17B9"/>
    <w:rsid w:val="00DF24CE"/>
    <w:rsid w:val="00DF28E3"/>
    <w:rsid w:val="00DF4741"/>
    <w:rsid w:val="00DF5170"/>
    <w:rsid w:val="00DF60AA"/>
    <w:rsid w:val="00E01327"/>
    <w:rsid w:val="00E05101"/>
    <w:rsid w:val="00E065E4"/>
    <w:rsid w:val="00E10C21"/>
    <w:rsid w:val="00E11CA2"/>
    <w:rsid w:val="00E14280"/>
    <w:rsid w:val="00E1487D"/>
    <w:rsid w:val="00E15ED5"/>
    <w:rsid w:val="00E20C21"/>
    <w:rsid w:val="00E2270D"/>
    <w:rsid w:val="00E22B2A"/>
    <w:rsid w:val="00E22DA1"/>
    <w:rsid w:val="00E23F6B"/>
    <w:rsid w:val="00E241C9"/>
    <w:rsid w:val="00E24DE5"/>
    <w:rsid w:val="00E30058"/>
    <w:rsid w:val="00E35B5D"/>
    <w:rsid w:val="00E36398"/>
    <w:rsid w:val="00E363C9"/>
    <w:rsid w:val="00E41E0C"/>
    <w:rsid w:val="00E41EC3"/>
    <w:rsid w:val="00E44478"/>
    <w:rsid w:val="00E46C07"/>
    <w:rsid w:val="00E47B16"/>
    <w:rsid w:val="00E50247"/>
    <w:rsid w:val="00E50E56"/>
    <w:rsid w:val="00E5280E"/>
    <w:rsid w:val="00E52B80"/>
    <w:rsid w:val="00E52E23"/>
    <w:rsid w:val="00E558F3"/>
    <w:rsid w:val="00E560FF"/>
    <w:rsid w:val="00E57B0D"/>
    <w:rsid w:val="00E57EBE"/>
    <w:rsid w:val="00E60E28"/>
    <w:rsid w:val="00E62476"/>
    <w:rsid w:val="00E62BAC"/>
    <w:rsid w:val="00E65429"/>
    <w:rsid w:val="00E6661C"/>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6EC"/>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24A"/>
    <w:rsid w:val="00EE349A"/>
    <w:rsid w:val="00EE3C61"/>
    <w:rsid w:val="00EE6338"/>
    <w:rsid w:val="00EE6EF1"/>
    <w:rsid w:val="00EE70E9"/>
    <w:rsid w:val="00EE7133"/>
    <w:rsid w:val="00EE7B18"/>
    <w:rsid w:val="00EF0230"/>
    <w:rsid w:val="00EF39CA"/>
    <w:rsid w:val="00EF68E8"/>
    <w:rsid w:val="00EF7381"/>
    <w:rsid w:val="00EF7778"/>
    <w:rsid w:val="00EF7C84"/>
    <w:rsid w:val="00F013C0"/>
    <w:rsid w:val="00F06042"/>
    <w:rsid w:val="00F06133"/>
    <w:rsid w:val="00F121A6"/>
    <w:rsid w:val="00F125CC"/>
    <w:rsid w:val="00F13364"/>
    <w:rsid w:val="00F1374C"/>
    <w:rsid w:val="00F16117"/>
    <w:rsid w:val="00F16B75"/>
    <w:rsid w:val="00F24387"/>
    <w:rsid w:val="00F24A55"/>
    <w:rsid w:val="00F26BF3"/>
    <w:rsid w:val="00F26DAF"/>
    <w:rsid w:val="00F27DD3"/>
    <w:rsid w:val="00F30764"/>
    <w:rsid w:val="00F3191C"/>
    <w:rsid w:val="00F31DAC"/>
    <w:rsid w:val="00F34435"/>
    <w:rsid w:val="00F36E4D"/>
    <w:rsid w:val="00F37917"/>
    <w:rsid w:val="00F403F3"/>
    <w:rsid w:val="00F40ADA"/>
    <w:rsid w:val="00F43C47"/>
    <w:rsid w:val="00F446C0"/>
    <w:rsid w:val="00F44EC8"/>
    <w:rsid w:val="00F46C47"/>
    <w:rsid w:val="00F47788"/>
    <w:rsid w:val="00F52807"/>
    <w:rsid w:val="00F54DF7"/>
    <w:rsid w:val="00F552DE"/>
    <w:rsid w:val="00F565FA"/>
    <w:rsid w:val="00F57310"/>
    <w:rsid w:val="00F6037A"/>
    <w:rsid w:val="00F603DB"/>
    <w:rsid w:val="00F60694"/>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874BA"/>
    <w:rsid w:val="00F90140"/>
    <w:rsid w:val="00F91049"/>
    <w:rsid w:val="00F9178E"/>
    <w:rsid w:val="00F93D0D"/>
    <w:rsid w:val="00F9467E"/>
    <w:rsid w:val="00F94F2F"/>
    <w:rsid w:val="00F97507"/>
    <w:rsid w:val="00FA2DAB"/>
    <w:rsid w:val="00FB21E9"/>
    <w:rsid w:val="00FB5783"/>
    <w:rsid w:val="00FC04B0"/>
    <w:rsid w:val="00FC04F1"/>
    <w:rsid w:val="00FC06DC"/>
    <w:rsid w:val="00FC174D"/>
    <w:rsid w:val="00FC2CCA"/>
    <w:rsid w:val="00FC2FC0"/>
    <w:rsid w:val="00FC3A91"/>
    <w:rsid w:val="00FC40D6"/>
    <w:rsid w:val="00FC420F"/>
    <w:rsid w:val="00FC5286"/>
    <w:rsid w:val="00FC5BC1"/>
    <w:rsid w:val="00FD2228"/>
    <w:rsid w:val="00FD4B63"/>
    <w:rsid w:val="00FD51C8"/>
    <w:rsid w:val="00FE0444"/>
    <w:rsid w:val="00FE0C0C"/>
    <w:rsid w:val="00FE336F"/>
    <w:rsid w:val="00FE3B66"/>
    <w:rsid w:val="00FE4BC6"/>
    <w:rsid w:val="00FE5A24"/>
    <w:rsid w:val="00FE6EDC"/>
    <w:rsid w:val="00FF09C5"/>
    <w:rsid w:val="00FF246A"/>
    <w:rsid w:val="00FF3C8A"/>
    <w:rsid w:val="00FF65EE"/>
    <w:rsid w:val="00FF7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466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4A7473"/>
    <w:rPr>
      <w:sz w:val="24"/>
      <w:szCs w:val="24"/>
    </w:rPr>
  </w:style>
  <w:style w:type="character" w:styleId="CommentReference">
    <w:name w:val="annotation reference"/>
    <w:basedOn w:val="DefaultParagraphFont"/>
    <w:rsid w:val="00FF7676"/>
    <w:rPr>
      <w:sz w:val="16"/>
      <w:szCs w:val="16"/>
    </w:rPr>
  </w:style>
  <w:style w:type="paragraph" w:styleId="CommentText">
    <w:name w:val="annotation text"/>
    <w:basedOn w:val="Normal"/>
    <w:link w:val="CommentTextChar"/>
    <w:rsid w:val="00FF7676"/>
    <w:pPr>
      <w:spacing w:line="240" w:lineRule="auto"/>
    </w:pPr>
    <w:rPr>
      <w:sz w:val="20"/>
      <w:szCs w:val="20"/>
    </w:rPr>
  </w:style>
  <w:style w:type="character" w:customStyle="1" w:styleId="CommentTextChar">
    <w:name w:val="Comment Text Char"/>
    <w:basedOn w:val="DefaultParagraphFont"/>
    <w:link w:val="CommentText"/>
    <w:rsid w:val="00FF7676"/>
  </w:style>
  <w:style w:type="paragraph" w:styleId="CommentSubject">
    <w:name w:val="annotation subject"/>
    <w:basedOn w:val="CommentText"/>
    <w:next w:val="CommentText"/>
    <w:link w:val="CommentSubjectChar"/>
    <w:rsid w:val="00FF7676"/>
    <w:rPr>
      <w:b/>
      <w:bCs/>
    </w:rPr>
  </w:style>
  <w:style w:type="character" w:customStyle="1" w:styleId="CommentSubjectChar">
    <w:name w:val="Comment Subject Char"/>
    <w:basedOn w:val="CommentTextChar"/>
    <w:link w:val="CommentSubject"/>
    <w:rsid w:val="00FF76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53FEC0D1C34B40838726410B2F530F"/>
        <w:category>
          <w:name w:val="General"/>
          <w:gallery w:val="placeholder"/>
        </w:category>
        <w:types>
          <w:type w:val="bbPlcHdr"/>
        </w:types>
        <w:behaviors>
          <w:behavior w:val="content"/>
        </w:behaviors>
        <w:guid w:val="{6167729B-8CC0-4AD7-994B-219EA1E13044}"/>
      </w:docPartPr>
      <w:docPartBody>
        <w:p w:rsidR="00374215" w:rsidRDefault="00374215">
          <w:pPr>
            <w:pStyle w:val="E053FEC0D1C34B40838726410B2F530F"/>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15"/>
    <w:rsid w:val="0018171A"/>
    <w:rsid w:val="00374215"/>
    <w:rsid w:val="007D54D4"/>
    <w:rsid w:val="00FF5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215"/>
    <w:rPr>
      <w:color w:val="808080"/>
    </w:rPr>
  </w:style>
  <w:style w:type="paragraph" w:customStyle="1" w:styleId="E053FEC0D1C34B40838726410B2F530F">
    <w:name w:val="E053FEC0D1C34B40838726410B2F53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3380</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2024-04-29T19:02:00Z</dcterms:created>
  <dcterms:modified xsi:type="dcterms:W3CDTF">2024-04-29T19:56:00Z</dcterms:modified>
</cp:coreProperties>
</file>